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jc w:val="center"/>
        <w:rPr>
          <w:highlight w:val="none"/>
          <w:shd w:fill="auto" w:val="clear"/>
        </w:rPr>
      </w:pPr>
      <w:r>
        <w:rPr>
          <w:rFonts w:eastAsia="Calibri" w:cs="Calibri" w:ascii="Calibri" w:hAnsi="Calibri"/>
          <w:b/>
          <w:bCs/>
          <w:sz w:val="24"/>
          <w:szCs w:val="24"/>
          <w:shd w:fill="auto" w:val="clear"/>
        </w:rPr>
        <w:t>FONDAZIONE COLONIA AGRICOLA G. DEL BIANCO</w:t>
      </w:r>
    </w:p>
    <w:p>
      <w:pPr>
        <w:pStyle w:val="Normal"/>
        <w:spacing w:before="0" w:after="60"/>
        <w:jc w:val="center"/>
        <w:rPr>
          <w:highlight w:val="none"/>
          <w:shd w:fill="auto" w:val="clear"/>
        </w:rPr>
      </w:pPr>
      <w:r>
        <w:rPr>
          <w:rFonts w:eastAsia="Calibri" w:cs="Calibri" w:ascii="Calibri" w:hAnsi="Calibri"/>
          <w:i/>
          <w:iCs/>
          <w:sz w:val="20"/>
          <w:szCs w:val="20"/>
          <w:shd w:fill="auto" w:val="clear"/>
        </w:rPr>
        <w:t>IPAB – Ente Morale</w:t>
      </w:r>
    </w:p>
    <w:p>
      <w:pPr>
        <w:pStyle w:val="Normal"/>
        <w:spacing w:before="0" w:after="60"/>
        <w:jc w:val="center"/>
        <w:rPr>
          <w:highlight w:val="none"/>
          <w:shd w:fill="auto" w:val="clear"/>
        </w:rPr>
      </w:pPr>
      <w:r>
        <w:rPr>
          <w:rFonts w:eastAsia="Calibri" w:cs="Calibri" w:ascii="Calibri" w:hAnsi="Calibri"/>
          <w:sz w:val="20"/>
          <w:szCs w:val="20"/>
          <w:shd w:fill="auto" w:val="clear"/>
        </w:rPr>
        <w:t>Via Repubblica, 140 – Misano Adriatico (RN)</w:t>
      </w:r>
    </w:p>
    <w:p>
      <w:pPr>
        <w:pStyle w:val="Normal"/>
        <w:pBdr>
          <w:bottom w:val="single" w:sz="6" w:space="4" w:color="1F3864"/>
        </w:pBdr>
        <w:spacing w:before="0" w:after="300"/>
        <w:jc w:val="center"/>
        <w:rPr>
          <w:highlight w:val="none"/>
          <w:shd w:fill="auto" w:val="clear"/>
        </w:rPr>
      </w:pPr>
      <w:r>
        <w:rPr>
          <w:rFonts w:eastAsia="Calibri" w:cs="Calibri" w:ascii="Calibri" w:hAnsi="Calibri"/>
          <w:sz w:val="20"/>
          <w:szCs w:val="20"/>
          <w:shd w:fill="auto" w:val="clear"/>
        </w:rPr>
        <w:t>PEC: ipab.delbianco@legalmail.it</w:t>
      </w:r>
    </w:p>
    <w:p>
      <w:pPr>
        <w:pStyle w:val="Normal"/>
        <w:spacing w:before="0" w:after="80"/>
        <w:jc w:val="center"/>
        <w:rPr>
          <w:highlight w:val="none"/>
          <w:shd w:fill="auto" w:val="clear"/>
        </w:rPr>
      </w:pPr>
      <w:r>
        <w:rPr>
          <w:rFonts w:eastAsia="Calibri" w:cs="Calibri" w:ascii="Calibri" w:hAnsi="Calibri"/>
          <w:b/>
          <w:bCs/>
          <w:sz w:val="26"/>
          <w:szCs w:val="26"/>
          <w:shd w:fill="auto" w:val="clear"/>
        </w:rPr>
        <w:t>AVVISO PUBBLICO ESPLORATIVO</w:t>
      </w:r>
    </w:p>
    <w:p>
      <w:pPr>
        <w:pStyle w:val="Normal"/>
        <w:spacing w:before="0" w:after="80"/>
        <w:jc w:val="center"/>
        <w:rPr>
          <w:highlight w:val="none"/>
          <w:shd w:fill="auto" w:val="clear"/>
        </w:rPr>
      </w:pPr>
      <w:r>
        <w:rPr>
          <w:rFonts w:eastAsia="Calibri" w:cs="Calibri" w:ascii="Calibri" w:hAnsi="Calibri"/>
          <w:b/>
          <w:bCs/>
          <w:sz w:val="22"/>
          <w:szCs w:val="22"/>
          <w:shd w:fill="auto" w:val="clear"/>
        </w:rPr>
        <w:t>PER LA RACCOLTA DI MANIFESTAZIONI DI INTERESSE FINALIZZATE ALLA</w:t>
      </w:r>
    </w:p>
    <w:p>
      <w:pPr>
        <w:pStyle w:val="Normal"/>
        <w:spacing w:before="0" w:after="400"/>
        <w:jc w:val="center"/>
        <w:rPr>
          <w:highlight w:val="none"/>
          <w:shd w:fill="auto" w:val="clear"/>
        </w:rPr>
      </w:pPr>
      <w:r>
        <w:rPr>
          <w:rFonts w:eastAsia="Calibri" w:cs="Calibri" w:ascii="Calibri" w:hAnsi="Calibri"/>
          <w:b/>
          <w:bCs/>
          <w:sz w:val="22"/>
          <w:szCs w:val="22"/>
          <w:shd w:fill="auto" w:val="clear"/>
        </w:rPr>
        <w:t>LOCAZIONE DELL'IMMOBILE ADIBITO A CENTRO SOCIALE G. DEL BIANCO SITO IN MISANO ADRIATICO, VIA DEL CARRO N. 21</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1. Premesse e finalità dell'avviso</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In esecuzione </w:t>
      </w:r>
      <w:r>
        <w:rPr>
          <w:rFonts w:eastAsia="Calibri" w:cs="Calibri" w:ascii="Calibri" w:hAnsi="Calibri"/>
          <w:sz w:val="22"/>
          <w:szCs w:val="22"/>
          <w:shd w:fill="auto" w:val="clear"/>
        </w:rPr>
        <w:t>della deliberazione del Consiglio di Amministrazione n. 36 del 24/08/2026, questa Fondazione Colo</w:t>
      </w:r>
      <w:r>
        <w:rPr>
          <w:rFonts w:eastAsia="Calibri" w:cs="Calibri" w:ascii="Calibri" w:hAnsi="Calibri"/>
          <w:sz w:val="22"/>
          <w:szCs w:val="22"/>
          <w:shd w:fill="auto" w:val="clear"/>
        </w:rPr>
        <w:t>nia Agricola G. Del Bianco (di seguito “la Fondazione”) intende pro</w:t>
      </w:r>
      <w:r>
        <w:rPr>
          <w:rFonts w:eastAsia="Calibri" w:cs="Calibri" w:ascii="Calibri" w:hAnsi="Calibri"/>
          <w:sz w:val="22"/>
          <w:szCs w:val="22"/>
          <w:shd w:fill="auto" w:val="clear"/>
        </w:rPr>
        <w:t>cedere alla stipula di un nuovo contratto avente ad oggetto la locazione dell'immobile sito in Misano Adriatico, Via Del Carro n. 21, censito catastalmente al Foglio 10, particella 26, subalterno 3 (cat. B/1), comprensivo dell’area pertinenziale e delle aree a verde insistenti sulla particella 26 del Foglio 10 del Catasto Terreni (ente urbano di mq 15.507), gravato da vincolo di destinazione a “centro sociale”.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Il presente avviso ha natura meramente esplorativa e non vincolante: è finalizzato esclusivamente all'acquisizione di manifestazioni di interesse, nel rispetto del principio di massima partecipazione, e non costituisce proposta contrattuale né offerta al pubblico ai sensi dell'art. 1336 c.c., né fa sorgere in capo ai soggetti partecipanti alcun diritto in ordine all'eventuale conclusione del contratto di locazione.</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2. Descrizione dell'immobile</w:t>
      </w:r>
    </w:p>
    <w:tbl>
      <w:tblPr>
        <w:tblW w:w="9300" w:type="dxa"/>
        <w:jc w:val="left"/>
        <w:tblInd w:w="125" w:type="dxa"/>
        <w:tblLayout w:type="fixed"/>
        <w:tblCellMar>
          <w:top w:w="100" w:type="dxa"/>
          <w:left w:w="120" w:type="dxa"/>
          <w:bottom w:w="100" w:type="dxa"/>
          <w:right w:w="120" w:type="dxa"/>
        </w:tblCellMar>
      </w:tblPr>
      <w:tblGrid>
        <w:gridCol w:w="3000"/>
        <w:gridCol w:w="6299"/>
      </w:tblGrid>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Denominazione</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2"/>
                <w:szCs w:val="22"/>
                <w:shd w:fill="auto" w:val="clear"/>
              </w:rPr>
              <w:t xml:space="preserve">Centro </w:t>
            </w:r>
            <w:r>
              <w:rPr>
                <w:rFonts w:eastAsia="Calibri" w:cs="Calibri" w:ascii="Calibri" w:hAnsi="Calibri"/>
                <w:sz w:val="22"/>
                <w:szCs w:val="22"/>
                <w:shd w:fill="auto" w:val="clear"/>
              </w:rPr>
              <w:t>sociale G. Del Bianco</w:t>
            </w:r>
          </w:p>
        </w:tc>
      </w:tr>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Ubicazione</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2"/>
                <w:szCs w:val="22"/>
                <w:shd w:fill="auto" w:val="clear"/>
              </w:rPr>
              <w:t>Misano Adriatico (RN), Via Del Carro n. 21</w:t>
            </w:r>
          </w:p>
        </w:tc>
      </w:tr>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Identificativi catastali</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rFonts w:eastAsia="Calibri" w:cs="Calibri" w:ascii="Calibri" w:hAnsi="Calibri"/>
                <w:color w:val="000000"/>
                <w:sz w:val="22"/>
                <w:szCs w:val="22"/>
                <w:shd w:fill="auto" w:val="clear"/>
              </w:rPr>
              <w:t>Catasto Fabbricati: Foglio 10, particella 26, subalterno 3, categoria B/1, classe 3, consistenza 4.374 m³, superficie catastale totale 951 m², rendita catastale € 4.969,78, piano S1-T;  Catasto Terreni: Foglio 10, particella 26, ente urbano della superficie catastale di mq 15.507 (ha 1.55.07).</w:t>
            </w:r>
          </w:p>
        </w:tc>
      </w:tr>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Proprietà</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2"/>
                <w:szCs w:val="22"/>
                <w:shd w:fill="auto" w:val="clear"/>
              </w:rPr>
              <w:t>Fondazione Colonia Agricola G. Del Bianco</w:t>
            </w:r>
          </w:p>
        </w:tc>
      </w:tr>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Destinazione urbanistica (PUG)</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2"/>
                <w:szCs w:val="22"/>
                <w:shd w:fill="auto" w:val="clear"/>
              </w:rPr>
              <w:t>Zona omogenea “Aree per attrezzature e spazi collettivi”, art. 2.2 delle Norme di Attuazione del Piano Urbanistico Generale del Comune di Misano Adriatico</w:t>
            </w:r>
          </w:p>
        </w:tc>
      </w:tr>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Vincolo di destinazione</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2"/>
                <w:szCs w:val="22"/>
                <w:shd w:fill="auto" w:val="clear"/>
              </w:rPr>
              <w:t>Centro sociale, con obbligo di assicurare la pubblica fruizione degli spazi e delle attrezzature, ai sensi dell'art. 2.2, comma 3, delle N.T.A. del PUG</w:t>
            </w:r>
          </w:p>
        </w:tc>
      </w:tr>
      <w:tr>
        <w:trPr/>
        <w:tc>
          <w:tcPr>
            <w:tcW w:w="3000" w:type="dxa"/>
            <w:tcBorders>
              <w:top w:val="single" w:sz="4" w:space="0" w:color="000000"/>
              <w:left w:val="single" w:sz="4" w:space="0" w:color="000000"/>
              <w:bottom w:val="single" w:sz="4" w:space="0" w:color="000000"/>
              <w:right w:val="single" w:sz="4" w:space="0" w:color="000000"/>
            </w:tcBorders>
            <w:shd w:fill="EDEDED" w:val="clear"/>
          </w:tcPr>
          <w:p>
            <w:pPr>
              <w:pStyle w:val="Normal"/>
              <w:widowControl w:val="false"/>
              <w:rPr>
                <w:highlight w:val="none"/>
                <w:shd w:fill="auto" w:val="clear"/>
              </w:rPr>
            </w:pPr>
            <w:r>
              <w:rPr>
                <w:rFonts w:eastAsia="Calibri" w:cs="Calibri" w:ascii="Calibri" w:hAnsi="Calibri"/>
                <w:b/>
                <w:bCs/>
                <w:sz w:val="22"/>
                <w:szCs w:val="22"/>
                <w:shd w:fill="auto" w:val="clear"/>
              </w:rPr>
              <w:t>Stato dei luoghi</w:t>
            </w:r>
          </w:p>
        </w:tc>
        <w:tc>
          <w:tcPr>
            <w:tcW w:w="62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trike w:val="false"/>
                <w:dstrike w:val="false"/>
                <w:sz w:val="22"/>
                <w:szCs w:val="22"/>
                <w:shd w:fill="auto" w:val="clear"/>
              </w:rPr>
              <w:t>Immobile  in regola con le norme urbanistiche.</w:t>
            </w:r>
            <w:r>
              <w:rPr>
                <w:rFonts w:eastAsia="Calibri" w:cs="Calibri" w:ascii="Calibri" w:hAnsi="Calibri"/>
                <w:sz w:val="22"/>
                <w:szCs w:val="22"/>
                <w:shd w:fill="auto" w:val="clear"/>
              </w:rPr>
              <w:t xml:space="preserve"> Immobile oggetto di interventi eseguiti in forza del Permesso di Costruire n. 13 del 02/12/2025</w:t>
            </w:r>
            <w:r>
              <w:rPr>
                <w:rFonts w:eastAsia="Calibri" w:cs="Calibri" w:ascii="Calibri" w:hAnsi="Calibri"/>
                <w:color w:val="000000"/>
                <w:sz w:val="22"/>
                <w:szCs w:val="22"/>
                <w:shd w:fill="auto" w:val="clear"/>
              </w:rPr>
              <w:t>. L’Attestato di Prestazione Energetica (APE) dell’immobile sarà messo a disposizione dei soggetti interessati e allegato al contratto di locazione, ai sensi dell’art. 6 del D.Lgs. 19 agosto 2005, n. 192.</w:t>
            </w:r>
          </w:p>
        </w:tc>
      </w:tr>
    </w:tbl>
    <w:p>
      <w:pPr>
        <w:pStyle w:val="Normal"/>
        <w:spacing w:before="120" w:after="120"/>
        <w:jc w:val="both"/>
        <w:rPr>
          <w:highlight w:val="none"/>
          <w:shd w:fill="auto" w:val="clear"/>
        </w:rPr>
      </w:pPr>
      <w:r>
        <w:rPr>
          <w:rFonts w:eastAsia="Calibri" w:cs="Calibri" w:ascii="Calibri" w:hAnsi="Calibri"/>
          <w:sz w:val="22"/>
          <w:szCs w:val="22"/>
          <w:shd w:fill="auto" w:val="clear"/>
        </w:rPr>
        <w:t xml:space="preserve"> </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Gli interessati potranno richiedere la calendarizzazione di una visita presso l’immobile oggetto della presente procedura esclusivamente su appuntamento e negli orari d’ufficio (dal lunedì al venerdì dalle 9 alle 13),  secondo le modalità indicate al successivo punto 8.</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3. Finalità d'uso e vincoli di destinazione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Il conduttore dovrà impiegare l'immobile esclusivamente per lo svolgimento di attività di carattere sociale, culturale e ricreativo, con particolare riguardo ai bisogni della popolazione anziana e delle fasce di popolazione fragile, assicurando in ogni caso la pubblica fruizione degli spazi e delle attrezzature, in coerenza con la destinazione urbanistica dell'area e con la storica funzione dell'immobile.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È esclusa qualsiasi destinazione d'uso diversa, anche parziale, non preventivamente autorizzata dalla Fondazione e non coerente con il vincolo urbanistico di cui al punto precedente.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Nell'ambito delle attività di cui al presente punto, il conduttore potrà svolgere, a favore dei soli soci/tesserati dell'ente, l'organizzazione di iniziative ricreative con annessa somministrazione di alimenti e bevande (a titolo esemplificativo, serate danzanti con cena sociale), nel rispetto della disciplina in materia di circoli privati di cui al D.P.R. 4 aprile 2001, n. 235 e alla L.R. Emilia-Romagna 26 luglio 2003, n. 14, che disciplina in Emilia-Romagna l'attività di somministrazione di alimenti e bevande. </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La somministrazione dovrà essere effettuata esclusivamente a favore dei soci regolarmente iscritti all'associazione, previa presentazione di apposita SCIA al SUAP del Comune di Misano Adriatico, e nel rispetto di ogni ulteriore adempimento previsto dalla normativa vigente in materia igienico-sanitaria (registrazione presso il Dipartimento di Sanità Pubblica competente) e di sorvegliabilità dei locali (D.M. 17 dicembre 1992, n. 564). </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Lo svolgimento dell'attività di somministrazione in regime di circolo privato è subordinato all'adesione del conduttore a un ente od organizzazione nazionale con finalità assistenziali riconosciute dal Ministero dell'Interno, ai sensi dell'art. 2, comma 1, del D.P.R. 4 aprile 2001, n. 235. Le iniziative riservate ai soli soci non potranno in alcun caso pregiudicare la pubblica fruizione degli spazi.</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Qualora nell'ambito delle medesime iniziative siano altresì svolte attività di intrattenimento e/o </w:t>
      </w:r>
      <w:r>
        <w:rPr>
          <w:rFonts w:eastAsia="Calibri" w:cs="Calibri" w:ascii="Calibri" w:hAnsi="Calibri"/>
          <w:strike w:val="false"/>
          <w:dstrike w:val="false"/>
          <w:sz w:val="22"/>
          <w:szCs w:val="22"/>
          <w:shd w:fill="auto" w:val="clear"/>
        </w:rPr>
        <w:t>trattenimento danzante, trova applicazione la disciplina di cui all'art. 80 del R.D. 18 giugno 1931, n. 773 (T.U.L.P.S.).</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La procedura per il rilascio della licenza di agibilità dei locali ai sensi del citato art. 80 T.U.L.P</w:t>
      </w:r>
      <w:r>
        <w:rPr>
          <w:rFonts w:eastAsia="Calibri" w:cs="Calibri" w:ascii="Calibri" w:hAnsi="Calibri"/>
          <w:strike w:val="false"/>
          <w:dstrike w:val="false"/>
          <w:sz w:val="22"/>
          <w:szCs w:val="22"/>
          <w:shd w:fill="auto" w:val="clear"/>
        </w:rPr>
        <w:t xml:space="preserve">.S. è attualmente in corso presso il Comune di Misano Adriatico. </w:t>
      </w:r>
      <w:r>
        <w:rPr>
          <w:rFonts w:eastAsia="Calibri" w:cs="Calibri" w:ascii="Calibri" w:hAnsi="Calibri"/>
          <w:sz w:val="22"/>
          <w:szCs w:val="22"/>
          <w:shd w:fill="auto" w:val="clear"/>
        </w:rPr>
        <w:t>L'eventuale mancato o ritardato rilascio della licenza non comporta responsabilità della Fondazione né dà diritto a riduzioni del canone; in tal caso non potranno essere svolte le sole attività soggette alla licenza medesima.</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Qualora la licenza risulti già rilasciata alla data di stipula del contratto di locazione, il nuovo conduttore dovrà provvedere, a propria cura e spese, alla voltura/cambio di intestazione della medesima presso il SUAP del Comune di Misano Adriatico, entro 30 (trenta) giorni dalla consegna dei locali. </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Qualora, invece, la procedura non risulti ancora conclusa a tale data, il nuovo conduttore subentrerà nella stessa, ove ne ricorrano i presupposti di legge, ovvero presenterà nuova istanza, e ne curerà il completamento presso il medesimo SUAP.</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Resta in ogni caso in capo al conduttore, sotto la propria esclusiva responsabilità, il rispetto della normativa di settore sopra richiamata.</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4. Durata e condizioni economiche</w:t>
      </w:r>
    </w:p>
    <w:p>
      <w:pPr>
        <w:pStyle w:val="ListParagraph"/>
        <w:numPr>
          <w:ilvl w:val="0"/>
          <w:numId w:val="6"/>
        </w:numPr>
        <w:spacing w:lineRule="exact" w:line="276" w:before="0" w:after="100"/>
        <w:jc w:val="both"/>
        <w:rPr>
          <w:highlight w:val="none"/>
          <w:shd w:fill="auto" w:val="clear"/>
        </w:rPr>
      </w:pPr>
      <w:r>
        <w:rPr>
          <w:rFonts w:eastAsia="Calibri" w:cs="Calibri" w:ascii="Calibri" w:hAnsi="Calibri"/>
          <w:sz w:val="22"/>
          <w:szCs w:val="22"/>
          <w:u w:val="single"/>
          <w:shd w:fill="auto" w:val="clear"/>
        </w:rPr>
        <w:t xml:space="preserve">Tipologia contrattuale: </w:t>
      </w:r>
      <w:r>
        <w:rPr>
          <w:rFonts w:eastAsia="Calibri" w:cs="Calibri" w:ascii="Calibri" w:hAnsi="Calibri"/>
          <w:sz w:val="22"/>
          <w:szCs w:val="22"/>
          <w:shd w:fill="auto" w:val="clear"/>
        </w:rPr>
        <w:t>contratto di locazione ad uso diverso da abitazione;</w:t>
      </w:r>
    </w:p>
    <w:p>
      <w:pPr>
        <w:pStyle w:val="ListParagraph"/>
        <w:numPr>
          <w:ilvl w:val="0"/>
          <w:numId w:val="7"/>
        </w:numPr>
        <w:spacing w:lineRule="exact" w:line="276" w:before="0" w:after="100"/>
        <w:jc w:val="both"/>
        <w:rPr>
          <w:highlight w:val="none"/>
          <w:shd w:fill="auto" w:val="clear"/>
        </w:rPr>
      </w:pPr>
      <w:r>
        <w:rPr>
          <w:rFonts w:eastAsia="Calibri" w:cs="Calibri" w:ascii="Calibri" w:hAnsi="Calibri"/>
          <w:sz w:val="22"/>
          <w:szCs w:val="22"/>
          <w:u w:val="single"/>
          <w:shd w:fill="auto" w:val="clear"/>
        </w:rPr>
        <w:t>Canone annuo</w:t>
      </w:r>
      <w:r>
        <w:rPr>
          <w:rFonts w:eastAsia="Calibri" w:cs="Calibri" w:ascii="Calibri" w:hAnsi="Calibri"/>
          <w:sz w:val="22"/>
          <w:szCs w:val="22"/>
          <w:shd w:fill="auto" w:val="clear"/>
        </w:rPr>
        <w:t xml:space="preserve"> post</w:t>
      </w:r>
      <w:r>
        <w:rPr>
          <w:rFonts w:eastAsia="Calibri" w:cs="Calibri" w:ascii="Calibri" w:hAnsi="Calibri"/>
          <w:sz w:val="22"/>
          <w:szCs w:val="22"/>
          <w:shd w:fill="auto" w:val="clear"/>
        </w:rPr>
        <w:t>o a base della procedura: € 25.000,00 (euro venticinquemila/00), oltre IVA se dovuta, non soggetto a ribasso; i soggetti risultati ammissibili potranno formulare un’offerta migliorativa, in aumento rispetto all’importo base, in sede di presentazione dell’offerta definitiva a seguito della lettera di invito di cui al successivo punto 9;</w:t>
      </w:r>
    </w:p>
    <w:p>
      <w:pPr>
        <w:pStyle w:val="ListParagraph"/>
        <w:numPr>
          <w:ilvl w:val="0"/>
          <w:numId w:val="8"/>
        </w:numPr>
        <w:spacing w:lineRule="exact" w:line="276" w:before="0" w:after="100"/>
        <w:jc w:val="both"/>
        <w:rPr>
          <w:highlight w:val="none"/>
          <w:shd w:fill="auto" w:val="clear"/>
        </w:rPr>
      </w:pPr>
      <w:r>
        <w:rPr>
          <w:rFonts w:eastAsia="Calibri" w:cs="Calibri" w:ascii="Calibri" w:hAnsi="Calibri"/>
          <w:sz w:val="22"/>
          <w:szCs w:val="22"/>
          <w:u w:val="single"/>
          <w:shd w:fill="auto" w:val="clear"/>
        </w:rPr>
        <w:t>Durata</w:t>
      </w:r>
      <w:r>
        <w:rPr>
          <w:rFonts w:eastAsia="Calibri" w:cs="Calibri" w:ascii="Calibri" w:hAnsi="Calibri"/>
          <w:sz w:val="22"/>
          <w:szCs w:val="22"/>
          <w:shd w:fill="auto" w:val="clear"/>
        </w:rPr>
        <w:t>: 6 (sei) anni, ai sensi degli artt. 27 e 42 della legge 27 luglio 1978, n. 392, con rinnovo tacito alla prima scadenza per ulteriori 6 (sei) anni, salvo diniego di rinnovo per i motivi e con le modalità previsti dall'art. 29 della medesima legge, ferma restando la facoltà di recesso del conduttore per gravi motivi, ai sensi dell'art. 27, ultimo comma, della me</w:t>
      </w:r>
      <w:r>
        <w:rPr>
          <w:rFonts w:eastAsia="Calibri" w:cs="Calibri" w:ascii="Calibri" w:hAnsi="Calibri"/>
          <w:strike w:val="false"/>
          <w:dstrike w:val="false"/>
          <w:sz w:val="22"/>
          <w:szCs w:val="22"/>
          <w:shd w:fill="auto" w:val="clear"/>
        </w:rPr>
        <w:t>desima legge.</w:t>
      </w:r>
    </w:p>
    <w:p>
      <w:pPr>
        <w:pStyle w:val="ListParagraph"/>
        <w:numPr>
          <w:ilvl w:val="0"/>
          <w:numId w:val="9"/>
        </w:numPr>
        <w:spacing w:lineRule="exact" w:line="276" w:before="0" w:after="100"/>
        <w:jc w:val="both"/>
        <w:rPr>
          <w:highlight w:val="none"/>
          <w:shd w:fill="auto" w:val="clear"/>
        </w:rPr>
      </w:pPr>
      <w:r>
        <w:rPr>
          <w:rFonts w:eastAsia="Calibri" w:cs="Calibri" w:ascii="Calibri" w:hAnsi="Calibri"/>
          <w:sz w:val="22"/>
          <w:szCs w:val="22"/>
          <w:u w:val="single"/>
          <w:shd w:fill="auto" w:val="clear"/>
        </w:rPr>
        <w:t>Aggiornamento del canone</w:t>
      </w:r>
      <w:r>
        <w:rPr>
          <w:rFonts w:eastAsia="Calibri" w:cs="Calibri" w:ascii="Calibri" w:hAnsi="Calibri"/>
          <w:sz w:val="22"/>
          <w:szCs w:val="22"/>
          <w:shd w:fill="auto" w:val="clear"/>
        </w:rPr>
        <w:t>: il canone è soggetto ad aggiornamento annuale, a decorrere dal secondo anno, nella misura del 75% della variazione dell’indice ISTAT FOI, ai sensi dell'art. 32 della legge 27 luglio 1978, n. 392;</w:t>
      </w:r>
    </w:p>
    <w:p>
      <w:pPr>
        <w:pStyle w:val="ListParagraph"/>
        <w:numPr>
          <w:ilvl w:val="0"/>
          <w:numId w:val="10"/>
        </w:numPr>
        <w:spacing w:lineRule="exact" w:line="276" w:before="0" w:after="100"/>
        <w:jc w:val="both"/>
        <w:rPr>
          <w:highlight w:val="none"/>
          <w:shd w:fill="auto" w:val="clear"/>
        </w:rPr>
      </w:pPr>
      <w:r>
        <w:rPr>
          <w:rFonts w:eastAsia="Calibri" w:cs="Calibri" w:ascii="Calibri" w:hAnsi="Calibri"/>
          <w:sz w:val="22"/>
          <w:szCs w:val="22"/>
          <w:u w:val="single"/>
          <w:shd w:fill="auto" w:val="clear"/>
        </w:rPr>
        <w:t>Spese di gestione</w:t>
      </w:r>
      <w:r>
        <w:rPr>
          <w:rFonts w:eastAsia="Calibri" w:cs="Calibri" w:ascii="Calibri" w:hAnsi="Calibri"/>
          <w:sz w:val="22"/>
          <w:szCs w:val="22"/>
          <w:shd w:fill="auto" w:val="clear"/>
        </w:rPr>
        <w:t>, manutenzione ordinaria: a carico del conduttore</w:t>
      </w:r>
      <w:r>
        <w:rPr>
          <w:rFonts w:eastAsia="Calibri" w:cs="Calibri" w:ascii="Calibri" w:hAnsi="Calibri"/>
          <w:sz w:val="22"/>
          <w:szCs w:val="22"/>
          <w:shd w:fill="auto" w:val="clear"/>
        </w:rPr>
        <w:t>, ivi compresi la TARI e gli oneri accessori di cui all'art. 9 della legge n. 392/1978. La manutenzione straordinaria resta a carico della Fondazione ai sensi dell'art. 1576 c.c., salvo quella resa</w:t>
      </w:r>
      <w:r>
        <w:rPr>
          <w:rFonts w:eastAsia="Calibri" w:cs="Calibri" w:ascii="Calibri" w:hAnsi="Calibri"/>
          <w:color w:val="000000"/>
          <w:sz w:val="22"/>
          <w:szCs w:val="22"/>
          <w:shd w:fill="auto" w:val="clear"/>
        </w:rPr>
        <w:t xml:space="preserve"> necessaria da fatto o colpa del conduttore e fatto salvo quanto previsto al successivo alinea per tutte le aree a verde pertinenziali dell’immobile.</w:t>
      </w:r>
      <w:r>
        <w:rPr>
          <w:rFonts w:eastAsia="Calibri" w:cs="Calibri" w:ascii="Calibri" w:hAnsi="Calibri"/>
          <w:sz w:val="22"/>
          <w:szCs w:val="22"/>
          <w:shd w:fill="auto" w:val="clear"/>
        </w:rPr>
        <w:t xml:space="preserve"> Qualsiasi intervento sull'immobile da parte del conduttore è subordinato alla preventiva autorizzazione scritta della Fondazione e ai titoli abilitativi di legge, e non dà diritto a rimborsi o indennità al termine della locazione;</w:t>
      </w:r>
    </w:p>
    <w:p>
      <w:pPr>
        <w:pStyle w:val="ListParagraph"/>
        <w:numPr>
          <w:ilvl w:val="0"/>
          <w:numId w:val="11"/>
        </w:numPr>
        <w:spacing w:lineRule="exact" w:line="276" w:before="0" w:after="100"/>
        <w:jc w:val="both"/>
        <w:rPr/>
      </w:pPr>
      <w:r>
        <w:rPr>
          <w:rStyle w:val="Strong"/>
          <w:rFonts w:eastAsia="Calibri" w:cs="Calibri" w:ascii="Calibri" w:hAnsi="Calibri"/>
          <w:b w:val="false"/>
          <w:bCs w:val="false"/>
          <w:color w:val="000000"/>
          <w:sz w:val="22"/>
          <w:szCs w:val="22"/>
          <w:u w:val="single"/>
          <w:shd w:fill="auto" w:val="clear"/>
        </w:rPr>
        <w:t>Manutenzione delle aree verdi</w:t>
      </w:r>
      <w:r>
        <w:rPr>
          <w:rFonts w:eastAsia="Calibri" w:cs="Calibri" w:ascii="Calibri" w:hAnsi="Calibri"/>
          <w:color w:val="000000"/>
          <w:sz w:val="22"/>
          <w:szCs w:val="22"/>
          <w:shd w:fill="auto" w:val="clear"/>
        </w:rPr>
        <w:t xml:space="preserve">: la manutenzione ordinaria e straordinaria di tutte le aree verdi pertinenziali dell'immobile è a carico del conduttore, a sua cura e spese. Comprende, tra l'altro: sfalcio dei prati, potatura di siepi, arbusti e alberi (anche di alto fusto), irrigazione, pulizia delle aiuole, smaltimento a norma di legge dei residui vegetali, trattamenti fitosanitari, sostituzione delle piante morte o ammalorate ed eventuali abbattimenti necessari. Gli interventi vanno eseguiti con regolarità e a regola d'arte, secondo la normativa e i regolamenti comunali in materia di verde, così da garantire decoro, igiene, sicurezza e fruibilità pubblica delle aree. Le potature straordinarie, gli abbattimenti e le sostituzioni di alberi vanno comunicati prima alla Fondazione e, quando previsto, autorizzati dal Comune di Misano Adriatico. Il conduttore risponde dei danni causati dalla mancata o inadeguata manutenzione e tiene indenne la Fondazione. Se il conduttore non adempie, la Fondazione può intervenire direttamente, previa diffida, e addebitargli i costi, anche escutendo la garanzia fideiussoria; </w:t>
      </w:r>
    </w:p>
    <w:p>
      <w:pPr>
        <w:pStyle w:val="ListParagraph"/>
        <w:numPr>
          <w:ilvl w:val="0"/>
          <w:numId w:val="12"/>
        </w:numPr>
        <w:spacing w:lineRule="exact" w:line="276" w:before="0" w:after="100"/>
        <w:jc w:val="both"/>
        <w:rPr>
          <w:highlight w:val="none"/>
          <w:shd w:fill="auto" w:val="clear"/>
        </w:rPr>
      </w:pPr>
      <w:r>
        <w:rPr>
          <w:rFonts w:eastAsia="Calibri" w:cs="Calibri" w:ascii="Calibri" w:hAnsi="Calibri"/>
          <w:sz w:val="22"/>
          <w:szCs w:val="22"/>
          <w:u w:val="single"/>
          <w:shd w:fill="auto" w:val="clear"/>
        </w:rPr>
        <w:t>Utenze</w:t>
      </w:r>
      <w:r>
        <w:rPr>
          <w:rFonts w:eastAsia="Calibri" w:cs="Calibri" w:ascii="Calibri" w:hAnsi="Calibri"/>
          <w:sz w:val="22"/>
          <w:szCs w:val="22"/>
          <w:shd w:fill="auto" w:val="clear"/>
        </w:rPr>
        <w:t xml:space="preserve"> (acqua, gas, energia elettrica): tutte le utenze relative all'immobile sono a carico esclusivo del conduttore, il quale dovrà provvedere, a propria cura e spese, alla voltura a proprio nome dei relativi contratti di fornitur</w:t>
      </w:r>
      <w:r>
        <w:rPr>
          <w:rFonts w:eastAsia="Calibri" w:cs="Calibri" w:ascii="Calibri" w:hAnsi="Calibri"/>
          <w:color w:val="000000"/>
          <w:sz w:val="22"/>
          <w:szCs w:val="22"/>
          <w:shd w:fill="auto" w:val="clear"/>
        </w:rPr>
        <w:t>a entro 30 (trenta) giorni dalla consegna dei locali, tenendo</w:t>
      </w:r>
      <w:r>
        <w:rPr>
          <w:rFonts w:eastAsia="Calibri" w:cs="Calibri" w:ascii="Calibri" w:hAnsi="Calibri"/>
          <w:sz w:val="22"/>
          <w:szCs w:val="22"/>
          <w:shd w:fill="auto" w:val="clear"/>
        </w:rPr>
        <w:t xml:space="preserve"> indenne la Fondazione da qualsiasi onere o richiesta relativa alle medesime;</w:t>
      </w:r>
    </w:p>
    <w:p>
      <w:pPr>
        <w:pStyle w:val="ListParagraph"/>
        <w:numPr>
          <w:ilvl w:val="0"/>
          <w:numId w:val="13"/>
        </w:numPr>
        <w:spacing w:lineRule="exact" w:line="276" w:before="0" w:after="100"/>
        <w:jc w:val="both"/>
        <w:rPr>
          <w:highlight w:val="none"/>
          <w:shd w:fill="auto" w:val="clear"/>
        </w:rPr>
      </w:pPr>
      <w:r>
        <w:rPr>
          <w:rFonts w:eastAsia="Calibri" w:cs="Calibri" w:ascii="Calibri" w:hAnsi="Calibri"/>
          <w:sz w:val="22"/>
          <w:szCs w:val="22"/>
          <w:u w:val="single"/>
          <w:shd w:fill="auto" w:val="clear"/>
        </w:rPr>
        <w:t xml:space="preserve">Uso gratuito a favore della Fondazione </w:t>
      </w:r>
      <w:r>
        <w:rPr>
          <w:rFonts w:eastAsia="Calibri" w:cs="Calibri" w:ascii="Calibri" w:hAnsi="Calibri"/>
          <w:sz w:val="22"/>
          <w:szCs w:val="22"/>
          <w:u w:val="single"/>
          <w:shd w:fill="auto" w:val="clear"/>
        </w:rPr>
        <w:t>e del Comune</w:t>
      </w:r>
      <w:r>
        <w:rPr>
          <w:rFonts w:eastAsia="Calibri" w:cs="Calibri" w:ascii="Calibri" w:hAnsi="Calibri"/>
          <w:sz w:val="22"/>
          <w:szCs w:val="22"/>
          <w:shd w:fill="auto" w:val="clear"/>
        </w:rPr>
        <w:t>: il conduttore dovrà garantire, a titolo gratuito, la disponibilità dei locali a favore della Fondazione e del Comune di Misano Adriatico per 30 (trenta) giornate annue ciascuno, per complessive 60 (sessanta) giornate annue, da destinare a iniziative e attività di interesse pubblico o sociale, secondo modalità, orari e calendario da concordare preventivamente tra le parti; durante tali giornate le spese per utenze restano a carico del conduttore; gli utilizzatori sono tenuti a riconsegnare i locali nello stato in cui li hanno ricevuti.</w:t>
      </w:r>
    </w:p>
    <w:p>
      <w:pPr>
        <w:pStyle w:val="ListParagraph"/>
        <w:numPr>
          <w:ilvl w:val="0"/>
          <w:numId w:val="14"/>
        </w:numPr>
        <w:spacing w:lineRule="exact" w:line="276" w:before="0" w:after="100"/>
        <w:jc w:val="both"/>
        <w:rPr>
          <w:highlight w:val="none"/>
          <w:shd w:fill="auto" w:val="clear"/>
        </w:rPr>
      </w:pPr>
      <w:r>
        <w:rPr>
          <w:rFonts w:eastAsia="Calibri" w:cs="Calibri" w:ascii="Calibri" w:hAnsi="Calibri"/>
          <w:sz w:val="22"/>
          <w:szCs w:val="22"/>
          <w:u w:val="single"/>
          <w:shd w:fill="auto" w:val="clear"/>
        </w:rPr>
        <w:t>Uso a favore di terzi</w:t>
      </w:r>
      <w:r>
        <w:rPr>
          <w:rFonts w:eastAsia="Calibri" w:cs="Calibri" w:ascii="Calibri" w:hAnsi="Calibri"/>
          <w:sz w:val="22"/>
          <w:szCs w:val="22"/>
          <w:shd w:fill="auto" w:val="clear"/>
        </w:rPr>
        <w:t xml:space="preserve"> soggetti del territorio: il cond</w:t>
      </w:r>
      <w:r>
        <w:rPr>
          <w:rFonts w:eastAsia="Calibri" w:cs="Calibri" w:ascii="Calibri" w:hAnsi="Calibri"/>
          <w:sz w:val="22"/>
          <w:szCs w:val="22"/>
          <w:shd w:fill="auto" w:val="clear"/>
        </w:rPr>
        <w:t>uttore dovrà altresì garantire a titolo gratuito l’utilizzo degli spazi, secondo modalità, orari e calendario da concordare con chi presenta l’istanza, per lo svolgimento di corsi socio-assistenziali, per le attività delle associazioni del territorio e per le esigenze dell’istituto comprensivo statale di Misano Adriatico, fermo restando quanto previsto al</w:t>
      </w:r>
      <w:r>
        <w:rPr>
          <w:rFonts w:eastAsia="Calibri" w:cs="Calibri" w:ascii="Calibri" w:hAnsi="Calibri"/>
          <w:sz w:val="22"/>
          <w:szCs w:val="22"/>
          <w:shd w:fill="auto" w:val="clear"/>
        </w:rPr>
        <w:t xml:space="preserve"> punto precedente in ordine all’uso gratuito a favore della Fondazione e </w:t>
      </w:r>
      <w:r>
        <w:rPr>
          <w:rFonts w:eastAsia="Calibri" w:cs="Calibri" w:ascii="Calibri" w:hAnsi="Calibri"/>
          <w:strike w:val="false"/>
          <w:dstrike w:val="false"/>
          <w:sz w:val="22"/>
          <w:szCs w:val="22"/>
          <w:shd w:fill="auto" w:val="clear"/>
        </w:rPr>
        <w:t>del Comune.</w:t>
      </w:r>
    </w:p>
    <w:p>
      <w:pPr>
        <w:pStyle w:val="ListParagraph"/>
        <w:numPr>
          <w:ilvl w:val="0"/>
          <w:numId w:val="0"/>
        </w:numPr>
        <w:spacing w:lineRule="exact" w:line="276" w:before="0" w:after="100"/>
        <w:ind w:left="504" w:hanging="0"/>
        <w:jc w:val="both"/>
        <w:rPr>
          <w:highlight w:val="none"/>
          <w:shd w:fill="auto" w:val="clear"/>
        </w:rPr>
      </w:pPr>
      <w:r>
        <w:rPr>
          <w:rFonts w:eastAsia="Calibri" w:cs="Calibri" w:ascii="Calibri" w:hAnsi="Calibri"/>
          <w:sz w:val="22"/>
          <w:szCs w:val="22"/>
          <w:shd w:fill="auto" w:val="clear"/>
        </w:rPr>
        <w:t>Tale utilizzo è garantito nel limite massimo complessivo di 30 (trenta) giornate annue, pari a 240 (duecentoquaranta) ore annue, computando ciascuna giornata in 8 (otto) ore di utilizzo e ammettendo l'utilizzo frazionato in più fasce orarie, fino a un massimo di 8 (otto) ore settimanali.</w:t>
      </w:r>
    </w:p>
    <w:p>
      <w:pPr>
        <w:pStyle w:val="ListParagraph"/>
        <w:numPr>
          <w:ilvl w:val="0"/>
          <w:numId w:val="15"/>
        </w:numPr>
        <w:spacing w:lineRule="exact" w:line="276" w:before="0" w:after="100"/>
        <w:jc w:val="both"/>
        <w:rPr>
          <w:highlight w:val="none"/>
          <w:shd w:fill="auto" w:val="clear"/>
        </w:rPr>
      </w:pPr>
      <w:r>
        <w:rPr>
          <w:rFonts w:eastAsia="Calibri" w:cs="Calibri" w:ascii="Calibri" w:hAnsi="Calibri"/>
          <w:sz w:val="22"/>
          <w:szCs w:val="22"/>
          <w:u w:val="single"/>
          <w:shd w:fill="auto" w:val="clear"/>
        </w:rPr>
        <w:t>Forma del contratto</w:t>
      </w:r>
      <w:r>
        <w:rPr>
          <w:rFonts w:eastAsia="Calibri" w:cs="Calibri" w:ascii="Calibri" w:hAnsi="Calibri"/>
          <w:strike w:val="false"/>
          <w:dstrike w:val="false"/>
          <w:sz w:val="22"/>
          <w:szCs w:val="22"/>
          <w:shd w:fill="auto" w:val="clear"/>
        </w:rPr>
        <w:t>: atto pubblico amministrativo. Tutte le spese relative e conseguenti alla stipula sono a carico del conduttore.</w:t>
      </w:r>
    </w:p>
    <w:p>
      <w:pPr>
        <w:pStyle w:val="ListParagraph"/>
        <w:numPr>
          <w:ilvl w:val="0"/>
          <w:numId w:val="16"/>
        </w:numPr>
        <w:spacing w:lineRule="exact" w:line="276" w:before="0" w:after="100"/>
        <w:jc w:val="both"/>
        <w:rPr>
          <w:highlight w:val="none"/>
          <w:shd w:fill="auto" w:val="clear"/>
        </w:rPr>
      </w:pPr>
      <w:r>
        <w:rPr>
          <w:rFonts w:eastAsia="Calibri" w:cs="Calibri" w:ascii="Calibri" w:hAnsi="Calibri"/>
          <w:sz w:val="22"/>
          <w:szCs w:val="22"/>
          <w:u w:val="single"/>
          <w:shd w:fill="auto" w:val="clear"/>
        </w:rPr>
        <w:t>Pagamento del canone:</w:t>
      </w:r>
      <w:r>
        <w:rPr>
          <w:rFonts w:eastAsia="Calibri" w:cs="Calibri" w:ascii="Calibri" w:hAnsi="Calibri"/>
          <w:sz w:val="22"/>
          <w:szCs w:val="22"/>
          <w:shd w:fill="auto" w:val="clear"/>
        </w:rPr>
        <w:t xml:space="preserve"> il canone annuo sarà corrisposto in due rate semestrali anticipate di pari importo, con scadenza rispettivamente il 1° gennaio e il 1° luglio di cias</w:t>
      </w:r>
      <w:r>
        <w:rPr>
          <w:rFonts w:eastAsia="Calibri" w:cs="Calibri" w:ascii="Calibri" w:hAnsi="Calibri"/>
          <w:color w:val="000000"/>
          <w:sz w:val="22"/>
          <w:szCs w:val="22"/>
          <w:shd w:fill="auto" w:val="clear"/>
        </w:rPr>
        <w:t xml:space="preserve">cun anno. </w:t>
      </w:r>
    </w:p>
    <w:p>
      <w:pPr>
        <w:pStyle w:val="ListParagraph"/>
        <w:numPr>
          <w:ilvl w:val="0"/>
          <w:numId w:val="17"/>
        </w:numPr>
        <w:spacing w:lineRule="exact" w:line="276" w:before="0" w:after="100"/>
        <w:jc w:val="both"/>
        <w:rPr/>
      </w:pPr>
      <w:r>
        <w:rPr>
          <w:rStyle w:val="Strong"/>
          <w:rFonts w:eastAsia="Calibri" w:cs="Calibri" w:ascii="Calibri" w:hAnsi="Calibri"/>
          <w:b w:val="false"/>
          <w:bCs w:val="false"/>
          <w:color w:val="000000"/>
          <w:kern w:val="0"/>
          <w:sz w:val="22"/>
          <w:szCs w:val="22"/>
          <w:u w:val="single"/>
          <w:shd w:fill="auto" w:val="clear"/>
          <w:lang w:val="it-IT" w:eastAsia="zh-CN" w:bidi="hi-IN"/>
        </w:rPr>
        <w:t>Garanzia</w:t>
      </w:r>
      <w:r>
        <w:rPr>
          <w:rStyle w:val="Strong"/>
          <w:rFonts w:eastAsia="Calibri" w:cs="Calibri" w:ascii="Calibri" w:hAnsi="Calibri"/>
          <w:sz w:val="22"/>
          <w:szCs w:val="22"/>
          <w:shd w:fill="auto" w:val="clear"/>
        </w:rPr>
        <w:t>:</w:t>
      </w:r>
      <w:r>
        <w:rPr>
          <w:rFonts w:eastAsia="Calibri" w:cs="Calibri" w:ascii="Calibri" w:hAnsi="Calibri"/>
          <w:sz w:val="22"/>
          <w:szCs w:val="22"/>
          <w:shd w:fill="auto" w:val="clear"/>
        </w:rPr>
        <w:t xml:space="preserve"> a garanzia dell'esatto adempimento delle obbligazioni contrattuali, il conduttore consegnerà al locatore, prima della sottoscrizione del contratto di locazione, una fideiussione bancaria o assicurativa di importo pari a un'annualità del canone. La fideiussione dovrà prevedere la rinuncia al beneficio della preventiva escussione del debitore principale e all'eccezione di cui all'art. 1957, comma 2, c.c., l'operatività entro 15 (quindici) giorni a semplice richiesta scritta della Fondazione, e dovrà avere validità per l'intera durata del contratto e dei suoi rinnovi e fino a 6 (sei) mesi dalla riconsegna dei locali.</w:t>
      </w:r>
    </w:p>
    <w:p>
      <w:pPr>
        <w:pStyle w:val="ListParagraph"/>
        <w:numPr>
          <w:ilvl w:val="0"/>
          <w:numId w:val="18"/>
        </w:numPr>
        <w:spacing w:lineRule="exact" w:line="276" w:before="0" w:after="100"/>
        <w:jc w:val="both"/>
        <w:rPr>
          <w:highlight w:val="none"/>
          <w:shd w:fill="auto" w:val="clear"/>
        </w:rPr>
      </w:pPr>
      <w:r>
        <w:rPr>
          <w:rFonts w:eastAsia="Calibri" w:cs="Calibri" w:ascii="Calibri" w:hAnsi="Calibri"/>
          <w:sz w:val="22"/>
          <w:szCs w:val="22"/>
          <w:u w:val="single"/>
          <w:shd w:fill="auto" w:val="clear"/>
        </w:rPr>
        <w:t>Coperture assicurative</w:t>
      </w:r>
      <w:r>
        <w:rPr>
          <w:rFonts w:eastAsia="Calibri" w:cs="Calibri" w:ascii="Calibri" w:hAnsi="Calibri"/>
          <w:sz w:val="22"/>
          <w:szCs w:val="22"/>
          <w:shd w:fill="auto" w:val="clear"/>
        </w:rPr>
        <w:t>: il conduttore dovrà stipulare, prima della consegna dei locali, e mantenere in vigore per l'intera durata del contratto e degli eventuali rinnovi, con primaria compagnia assicuratrice, le seguenti polizze, trasmettendo alla Fondazione copia delle stesse prima della consegna e, annualmente, copia delle quietanze di pagamento dei premi:</w:t>
      </w:r>
    </w:p>
    <w:p>
      <w:pPr>
        <w:pStyle w:val="ListParagraph"/>
        <w:numPr>
          <w:ilvl w:val="0"/>
          <w:numId w:val="0"/>
        </w:numPr>
        <w:spacing w:lineRule="exact" w:line="276" w:before="0" w:after="100"/>
        <w:ind w:left="504" w:hanging="0"/>
        <w:jc w:val="both"/>
        <w:rPr>
          <w:highlight w:val="none"/>
          <w:shd w:fill="auto" w:val="clear"/>
        </w:rPr>
      </w:pPr>
      <w:r>
        <w:rPr>
          <w:rFonts w:eastAsia="Calibri" w:cs="Calibri" w:ascii="Calibri" w:hAnsi="Calibri"/>
          <w:sz w:val="22"/>
          <w:szCs w:val="22"/>
          <w:shd w:fill="auto" w:val="clear"/>
        </w:rPr>
        <w:t>a) polizza di responsabilità civile verso terzi (RCT) con massimale non inferiore a € 3.000.000,00 (tre milioni di euro) per sinistro, estesa ai danni derivanti dalla somministrazione di alimenti e bevande e dalle attività di intratten</w:t>
      </w:r>
      <w:r>
        <w:rPr>
          <w:rFonts w:eastAsia="Calibri" w:cs="Calibri" w:ascii="Calibri" w:hAnsi="Calibri"/>
          <w:color w:val="000000"/>
          <w:sz w:val="22"/>
          <w:szCs w:val="22"/>
          <w:shd w:fill="auto" w:val="clear"/>
        </w:rPr>
        <w:t>imento e trattenimento danzante. La polizza dovrà espressamente coprire la responsabilità civile per danni a terzi derivanti da tutte le attività svolte nei locali e nelle aree pertinenziali (ivi compresi il parcheggio e tutte le aree a verde, anche in relazione alle attività di manutenzione del verde), ivi com</w:t>
      </w:r>
      <w:r>
        <w:rPr>
          <w:rFonts w:eastAsia="Calibri" w:cs="Calibri" w:ascii="Calibri" w:hAnsi="Calibri"/>
          <w:sz w:val="22"/>
          <w:szCs w:val="22"/>
          <w:shd w:fill="auto" w:val="clear"/>
        </w:rPr>
        <w:t>prese quelle svolte nelle giornate di utilizzo gratuito a favore della Fondazione, del Comune di Misano Adriatico, delle associazioni del territorio e dell'istituto comprensivo statale di Misano Adriatico di cui al presente punto. La Fondazione, il Comune di Misano Adriatico e i soggetti utilizzatori a titolo gratuito, nonché i rispettivi partecipanti, dovranno essere considerati terzi ai fini della copertura;</w:t>
      </w:r>
    </w:p>
    <w:p>
      <w:pPr>
        <w:pStyle w:val="ListParagraph"/>
        <w:numPr>
          <w:ilvl w:val="0"/>
          <w:numId w:val="0"/>
        </w:numPr>
        <w:spacing w:lineRule="exact" w:line="276" w:before="0" w:after="100"/>
        <w:ind w:left="504" w:hanging="0"/>
        <w:jc w:val="both"/>
        <w:rPr>
          <w:highlight w:val="none"/>
          <w:shd w:fill="auto" w:val="clear"/>
        </w:rPr>
      </w:pPr>
      <w:r>
        <w:rPr>
          <w:rFonts w:eastAsia="Calibri" w:cs="Calibri" w:ascii="Calibri" w:hAnsi="Calibri"/>
          <w:sz w:val="22"/>
          <w:szCs w:val="22"/>
          <w:shd w:fill="auto" w:val="clear"/>
        </w:rPr>
        <w:t>b) ove il conduttore si avvalga di personale dipendente o assimilato, polizza di responsabilità civile verso prestatori di lavoro (RCO) con massimale non inferiore a € 2.000.000,00 (due milioni di euro) per sinistro e € 1.000.000,00 (un milione di euro) per persona, ferme restando le coperture assicurative in favore dei volontari previste dall'art. 18 del D.Lgs. 3 luglio 2017, n. 117;</w:t>
      </w:r>
    </w:p>
    <w:p>
      <w:pPr>
        <w:pStyle w:val="ListParagraph"/>
        <w:numPr>
          <w:ilvl w:val="0"/>
          <w:numId w:val="0"/>
        </w:numPr>
        <w:spacing w:lineRule="exact" w:line="276" w:before="0" w:after="100"/>
        <w:ind w:left="504" w:hanging="0"/>
        <w:jc w:val="both"/>
        <w:rPr>
          <w:highlight w:val="none"/>
          <w:shd w:fill="auto" w:val="clear"/>
        </w:rPr>
      </w:pPr>
      <w:r>
        <w:rPr>
          <w:rFonts w:eastAsia="Calibri" w:cs="Calibri" w:ascii="Calibri" w:hAnsi="Calibri"/>
          <w:sz w:val="22"/>
          <w:szCs w:val="22"/>
          <w:shd w:fill="auto" w:val="clear"/>
        </w:rPr>
        <w:t>c) polizza a copertura del rischio locativo (incendio, esplosione, scoppio), prestata a valore intero o a primo rischio assoluto, comprensiva della garanzia ricorso terzi con massimale non inferiore a € 1.000.000,00 (un milione di euro).</w:t>
      </w:r>
    </w:p>
    <w:p>
      <w:pPr>
        <w:pStyle w:val="ListParagraph"/>
        <w:numPr>
          <w:ilvl w:val="0"/>
          <w:numId w:val="0"/>
        </w:numPr>
        <w:spacing w:lineRule="exact" w:line="276" w:before="0" w:after="100"/>
        <w:ind w:left="504" w:hanging="0"/>
        <w:jc w:val="both"/>
        <w:rPr>
          <w:highlight w:val="none"/>
          <w:shd w:fill="auto" w:val="clear"/>
        </w:rPr>
      </w:pPr>
      <w:r>
        <w:rPr>
          <w:rFonts w:eastAsia="Calibri" w:cs="Calibri" w:ascii="Calibri" w:hAnsi="Calibri"/>
          <w:sz w:val="22"/>
          <w:szCs w:val="22"/>
          <w:shd w:fill="auto" w:val="clear"/>
        </w:rPr>
        <w:t>Eventuali scoperti e franchigie previsti dalle polizze restano a esclusivo carico del conduttore e non sono opponibili alla Fondazione né ai terzi danneggiati. La mancata stipula, il mancato rinnovo o la mancata trasmissione delle quietanze costituiscono grave inadempimento e causa di risoluzione del contratto ai sensi dell'art. 1456 c.c.</w:t>
      </w:r>
    </w:p>
    <w:p>
      <w:pPr>
        <w:pStyle w:val="ListParagraph"/>
        <w:numPr>
          <w:ilvl w:val="0"/>
          <w:numId w:val="19"/>
        </w:numPr>
        <w:spacing w:lineRule="exact" w:line="276" w:before="0" w:after="100"/>
        <w:jc w:val="both"/>
        <w:rPr>
          <w:highlight w:val="none"/>
          <w:shd w:fill="auto" w:val="clear"/>
        </w:rPr>
      </w:pPr>
      <w:r>
        <w:rPr>
          <w:rFonts w:eastAsia="Calibri" w:cs="Calibri" w:ascii="Calibri" w:hAnsi="Calibri"/>
          <w:sz w:val="22"/>
          <w:szCs w:val="22"/>
          <w:u w:val="single"/>
          <w:shd w:fill="auto" w:val="clear"/>
        </w:rPr>
        <w:t>Sublocazione e cessione</w:t>
      </w:r>
      <w:r>
        <w:rPr>
          <w:rFonts w:eastAsia="Calibri" w:cs="Calibri" w:ascii="Calibri" w:hAnsi="Calibri"/>
          <w:sz w:val="22"/>
          <w:szCs w:val="22"/>
          <w:shd w:fill="auto" w:val="clear"/>
        </w:rPr>
        <w:t>: è vietata la sublocazione, anche parziale, e la cessione del contratto senza il preventivo consenso scritto della Fondazione;</w:t>
      </w:r>
    </w:p>
    <w:p>
      <w:pPr>
        <w:pStyle w:val="ListParagraph"/>
        <w:numPr>
          <w:ilvl w:val="0"/>
          <w:numId w:val="20"/>
        </w:numPr>
        <w:spacing w:lineRule="exact" w:line="276" w:before="0" w:after="0"/>
        <w:jc w:val="both"/>
        <w:rPr>
          <w:highlight w:val="none"/>
          <w:shd w:fill="auto" w:val="clear"/>
        </w:rPr>
      </w:pPr>
      <w:r>
        <w:rPr>
          <w:rFonts w:eastAsia="Calibri" w:cs="Calibri" w:ascii="Calibri" w:hAnsi="Calibri"/>
          <w:sz w:val="22"/>
          <w:szCs w:val="22"/>
          <w:u w:val="single"/>
          <w:shd w:fill="auto" w:val="clear"/>
        </w:rPr>
        <w:t>Riconoscimento per migliorie eseguite dal comodatario uscente:</w:t>
      </w:r>
      <w:r>
        <w:rPr>
          <w:rFonts w:eastAsia="Calibri" w:cs="Calibri" w:ascii="Calibri" w:hAnsi="Calibri"/>
          <w:sz w:val="22"/>
          <w:szCs w:val="22"/>
          <w:shd w:fill="auto" w:val="clear"/>
        </w:rPr>
        <w:t xml:space="preserve"> si dà atto che l’immobile è attualmente </w:t>
      </w:r>
      <w:r>
        <w:rPr>
          <w:rFonts w:eastAsia="Calibri" w:cs="Calibri" w:ascii="Calibri" w:hAnsi="Calibri"/>
          <w:color w:val="000000"/>
          <w:sz w:val="22"/>
          <w:szCs w:val="22"/>
          <w:shd w:fill="auto" w:val="clear"/>
        </w:rPr>
        <w:t>concesso in comodato d’uso gratuito dalla Fondazione al Comune di Misano Adriatico (contratto Rep. 2973 del 26/02/2007) e da quest’ultimo all’Associazione di Promozione Sociale “Centro sociale ricreativo culturale autogestito Giuseppe Del Bianco” (contratto Rep. 3942 del 12/04/2016), entrambi con scadenza al 31/12/2026. Le opere di miglioria di seguito indicate sono state eseguite a cura e spese della predetta Associazione, di seguito denominata “comodatario uscente”</w:t>
      </w:r>
      <w:r>
        <w:rPr>
          <w:rFonts w:eastAsia="Calibri" w:cs="Calibri" w:ascii="Calibri" w:hAnsi="Calibri"/>
          <w:sz w:val="22"/>
          <w:szCs w:val="22"/>
          <w:shd w:fill="auto" w:val="clear"/>
        </w:rPr>
        <w:t xml:space="preserve">. </w:t>
      </w:r>
    </w:p>
    <w:p>
      <w:pPr>
        <w:pStyle w:val="ListParagraph"/>
        <w:numPr>
          <w:ilvl w:val="0"/>
          <w:numId w:val="0"/>
        </w:numPr>
        <w:spacing w:lineRule="exact" w:line="276" w:before="0" w:after="0"/>
        <w:ind w:left="504" w:hanging="0"/>
        <w:jc w:val="both"/>
        <w:rPr>
          <w:highlight w:val="none"/>
          <w:shd w:fill="auto" w:val="clear"/>
        </w:rPr>
      </w:pPr>
      <w:r>
        <w:rPr>
          <w:rFonts w:eastAsia="Calibri" w:cs="Calibri" w:ascii="Calibri" w:hAnsi="Calibri"/>
          <w:sz w:val="22"/>
          <w:szCs w:val="22"/>
          <w:shd w:fill="auto" w:val="clear"/>
        </w:rPr>
        <w:t xml:space="preserve">Qualora, all’esito della presente procedura, risulti individuato quale nuovo conduttore un soggetto diverso </w:t>
      </w:r>
      <w:r>
        <w:rPr>
          <w:rFonts w:eastAsia="Calibri" w:cs="Calibri" w:ascii="Calibri" w:hAnsi="Calibri"/>
          <w:color w:val="000000"/>
          <w:sz w:val="22"/>
          <w:szCs w:val="22"/>
          <w:shd w:fill="auto" w:val="clear"/>
        </w:rPr>
        <w:t>dal comodatario uscente</w:t>
      </w:r>
      <w:r>
        <w:rPr>
          <w:rFonts w:eastAsia="Calibri" w:cs="Calibri" w:ascii="Calibri" w:hAnsi="Calibri"/>
          <w:sz w:val="22"/>
          <w:szCs w:val="22"/>
          <w:shd w:fill="auto" w:val="clear"/>
        </w:rPr>
        <w:t xml:space="preserve">, il medesimo nuovo conduttore è tenuto a corrispondere a quest’ultimo, a titolo di riconoscimento per le opere di miglioria eseguite sull’immobile (opere eseguite in forza del Permesso di Costruire n. 13 del 02/12/2025, oggetto di ricognizione con deliberazione del Consiglio di Amministrazione n. 35 del 24/08/2026), </w:t>
      </w:r>
      <w:r>
        <w:rPr>
          <w:rFonts w:eastAsia="Calibri" w:cs="Calibri" w:ascii="Calibri" w:hAnsi="Calibri"/>
          <w:sz w:val="22"/>
          <w:szCs w:val="22"/>
          <w:shd w:fill="auto" w:val="clear"/>
        </w:rPr>
        <w:t>una somma pari ai costi documentati e quietanzati, come accertati con la citata deliberazione, fino a un importo massimo di € 50.000,00 (cinquantamila/00).</w:t>
      </w:r>
    </w:p>
    <w:p>
      <w:pPr>
        <w:pStyle w:val="ListParagraph"/>
        <w:numPr>
          <w:ilvl w:val="0"/>
          <w:numId w:val="0"/>
        </w:numPr>
        <w:spacing w:lineRule="exact" w:line="276" w:before="0" w:after="0"/>
        <w:ind w:left="504" w:hanging="0"/>
        <w:jc w:val="both"/>
        <w:rPr>
          <w:highlight w:val="none"/>
          <w:shd w:fill="auto" w:val="clear"/>
        </w:rPr>
      </w:pPr>
      <w:r>
        <w:rPr>
          <w:rFonts w:eastAsia="Calibri" w:cs="Calibri" w:ascii="Calibri" w:hAnsi="Calibri"/>
          <w:sz w:val="22"/>
          <w:szCs w:val="22"/>
          <w:shd w:fill="auto" w:val="clear"/>
        </w:rPr>
        <w:t xml:space="preserve">Il versamento di tale importo dovrà avvenire  in unica soluzione, entro 30 (trenta) giorni dalla stipula del contratto di locazione, dandone prova documentale alla Fondazione. Qualora, invece, all’esito della procedura risulti individuato quale nuovo conduttore il medesimo comodatario uscente, nessun importo sarà a tale titolo dovuto. </w:t>
      </w:r>
    </w:p>
    <w:p>
      <w:pPr>
        <w:pStyle w:val="ListParagraph"/>
        <w:spacing w:lineRule="exact" w:line="276" w:before="0" w:after="0"/>
        <w:ind w:left="504" w:hanging="0"/>
        <w:jc w:val="both"/>
        <w:rPr>
          <w:highlight w:val="none"/>
          <w:shd w:fill="auto" w:val="clear"/>
        </w:rPr>
      </w:pPr>
      <w:r>
        <w:rPr>
          <w:rFonts w:eastAsia="Calibri" w:cs="Calibri" w:ascii="Calibri" w:hAnsi="Calibri"/>
          <w:sz w:val="22"/>
          <w:szCs w:val="22"/>
          <w:shd w:fill="auto" w:val="clear"/>
        </w:rPr>
        <w:t>Il riconoscimento è dovuto nei limiti dei soli costi per i quali, alla data di pubblicazione del presente Avviso, risulti acquisita idonea quietanza di pagamento. Il relativo obbligo grava esclusivamente sul nuovo conduttore e non comporta alcun onere né garanzia a carico della Fondazione. La documentazione relativa alle migliorie (fatture, ricevute e altri documenti fiscali) è consultabile dai soggetti interessati presso gli uffici della Fondazione, previo appuntamento da richiedere ai recapiti di cui al punto 11, entro il termine per la presentazione delle manifestazioni di interesse.</w:t>
      </w:r>
    </w:p>
    <w:p>
      <w:pPr>
        <w:pStyle w:val="ListParagraph"/>
        <w:numPr>
          <w:ilvl w:val="0"/>
          <w:numId w:val="21"/>
        </w:numPr>
        <w:spacing w:lineRule="exact" w:line="276" w:before="0" w:after="100"/>
        <w:jc w:val="both"/>
        <w:rPr>
          <w:highlight w:val="none"/>
          <w:shd w:fill="auto" w:val="clear"/>
        </w:rPr>
      </w:pPr>
      <w:r>
        <w:rPr>
          <w:rFonts w:eastAsia="Calibri" w:cs="Calibri" w:ascii="Calibri" w:hAnsi="Calibri"/>
          <w:b w:val="false"/>
          <w:bCs w:val="false"/>
          <w:sz w:val="22"/>
          <w:szCs w:val="22"/>
          <w:u w:val="single"/>
          <w:shd w:fill="auto" w:val="clear"/>
        </w:rPr>
        <w:t>Consegna dei locali:</w:t>
      </w:r>
      <w:r>
        <w:rPr>
          <w:rFonts w:eastAsia="Calibri" w:cs="Calibri" w:ascii="Calibri" w:hAnsi="Calibri"/>
          <w:sz w:val="22"/>
          <w:szCs w:val="22"/>
          <w:shd w:fill="auto" w:val="clear"/>
        </w:rPr>
        <w:t xml:space="preserve"> la consegna avverrà a seguito della cessazione </w:t>
      </w:r>
      <w:r>
        <w:rPr>
          <w:rFonts w:eastAsia="Calibri" w:cs="Calibri" w:ascii="Calibri" w:hAnsi="Calibri"/>
          <w:color w:val="000000"/>
          <w:sz w:val="22"/>
          <w:szCs w:val="22"/>
          <w:shd w:fill="auto" w:val="clear"/>
        </w:rPr>
        <w:t>dei contratti</w:t>
      </w:r>
      <w:r>
        <w:rPr>
          <w:rFonts w:eastAsia="Calibri" w:cs="Calibri" w:ascii="Calibri" w:hAnsi="Calibri"/>
          <w:sz w:val="22"/>
          <w:szCs w:val="22"/>
          <w:shd w:fill="auto" w:val="clear"/>
        </w:rPr>
        <w:t xml:space="preserve"> di comodato in essere e del rilascio dei locali da parte del comodatario uscente. La Fondazione non risponde di eventuali ritardi nella consegna non imputabili a propria colpa; in tal caso la decorrenza del contratto e del canone è posticipata alla data dell'effettiva consegna, risultante da apposito verbale, senza che il conduttore possa pretendere risarcimenti o indennizzi.</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5. Soggetti ammessi a partecipare – requisiti di partecipazione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In ragione del vincolo di destinazione d'uso gravante sull'immobile e della necessità di assicurare continuità alla funzione sociale sin qui svolta, possono presentare manifestazione di interesse i soggetti in possesso, a pena di esclusione, dei seguenti requisiti:</w:t>
      </w:r>
    </w:p>
    <w:p>
      <w:pPr>
        <w:pStyle w:val="ListParagraph"/>
        <w:numPr>
          <w:ilvl w:val="0"/>
          <w:numId w:val="22"/>
        </w:numPr>
        <w:spacing w:lineRule="exact" w:line="276" w:before="0" w:after="100"/>
        <w:jc w:val="both"/>
        <w:rPr>
          <w:highlight w:val="none"/>
          <w:shd w:fill="auto" w:val="clear"/>
        </w:rPr>
      </w:pPr>
      <w:r>
        <w:rPr>
          <w:rFonts w:eastAsia="Calibri" w:cs="Calibri" w:ascii="Calibri" w:hAnsi="Calibri"/>
          <w:sz w:val="22"/>
          <w:szCs w:val="22"/>
          <w:shd w:fill="auto" w:val="clear"/>
        </w:rPr>
        <w:t xml:space="preserve">essere Ente del Terzo Settore, iscritto al Registro Unico Nazionale del Terzo Settore (RUNTS), ovvero, se non ancora iscritto, aver presentato domanda di iscrizione in data anteriore alla pubblicazione del </w:t>
      </w:r>
      <w:r>
        <w:rPr>
          <w:rFonts w:eastAsia="Calibri" w:cs="Calibri" w:ascii="Calibri" w:hAnsi="Calibri"/>
          <w:sz w:val="22"/>
          <w:szCs w:val="22"/>
          <w:shd w:fill="auto" w:val="clear"/>
        </w:rPr>
        <w:t>presente avviso;</w:t>
      </w:r>
    </w:p>
    <w:p>
      <w:pPr>
        <w:pStyle w:val="ListParagraph"/>
        <w:numPr>
          <w:ilvl w:val="0"/>
          <w:numId w:val="23"/>
        </w:numPr>
        <w:spacing w:lineRule="exact" w:line="276" w:before="0" w:after="100"/>
        <w:jc w:val="both"/>
        <w:rPr>
          <w:highlight w:val="none"/>
          <w:shd w:fill="auto" w:val="clear"/>
        </w:rPr>
      </w:pPr>
      <w:r>
        <w:rPr>
          <w:rFonts w:eastAsia="Calibri" w:cs="Calibri" w:ascii="Calibri" w:hAnsi="Calibri"/>
          <w:strike w:val="false"/>
          <w:dstrike w:val="false"/>
          <w:sz w:val="22"/>
          <w:szCs w:val="22"/>
          <w:shd w:fill="auto" w:val="clear"/>
        </w:rPr>
        <w:t>aderire a un ente od organizzazione nazionale con finalità assistenziali riconosciute dal Ministero dell'Interno, ai sensi dell'art. 2, comma 1, del D.P.R. 4 aprile 2001, n. 235;</w:t>
      </w:r>
    </w:p>
    <w:p>
      <w:pPr>
        <w:pStyle w:val="ListParagraph"/>
        <w:numPr>
          <w:ilvl w:val="0"/>
          <w:numId w:val="24"/>
        </w:numPr>
        <w:spacing w:lineRule="exact" w:line="276" w:before="0" w:after="100"/>
        <w:jc w:val="both"/>
        <w:rPr>
          <w:highlight w:val="none"/>
          <w:shd w:fill="auto" w:val="clear"/>
        </w:rPr>
      </w:pPr>
      <w:r>
        <w:rPr>
          <w:rFonts w:eastAsia="Calibri" w:cs="Calibri" w:ascii="Calibri" w:hAnsi="Calibri"/>
          <w:sz w:val="22"/>
          <w:szCs w:val="22"/>
          <w:shd w:fill="auto" w:val="clear"/>
        </w:rPr>
        <w:t>avere, tra le finalità statutarie, lo svolgimento di attività di carattere sociale, culturale, ricreativo e/o assistenziale, con particolare riferimento alla popolazione anziana o a categorie di soggetti fragili;</w:t>
      </w:r>
    </w:p>
    <w:p>
      <w:pPr>
        <w:pStyle w:val="ListParagraph"/>
        <w:numPr>
          <w:ilvl w:val="0"/>
          <w:numId w:val="25"/>
        </w:numPr>
        <w:spacing w:lineRule="exact" w:line="276" w:before="0" w:after="100"/>
        <w:jc w:val="both"/>
        <w:rPr>
          <w:highlight w:val="none"/>
          <w:shd w:fill="auto" w:val="clear"/>
        </w:rPr>
      </w:pPr>
      <w:r>
        <w:rPr>
          <w:rFonts w:eastAsia="Calibri" w:cs="Calibri" w:ascii="Calibri" w:hAnsi="Calibri"/>
          <w:sz w:val="22"/>
          <w:szCs w:val="22"/>
          <w:shd w:fill="auto" w:val="clear"/>
        </w:rPr>
        <w:t>non trovarsi in alcuna delle cause di esclusione automatica (art. 94) e non automatica (artt. 95 e 98) previste dal D.Lgs. 31 marzo 2023, n. 36, applicate dalla Fondazione secondo quanto precisato al termine del presente punto, né in stato di scioglimento, liquidazione o procedure concorsuali; il possesso del presente requisito dovrà essere autocertificato, ai sensi degli artt. 46 e 47 del D.P.R. 28 dicembre 2000, n. 445, in sede di presentazione della manifestazione di interesse;</w:t>
      </w:r>
    </w:p>
    <w:p>
      <w:pPr>
        <w:pStyle w:val="ListParagraph"/>
        <w:numPr>
          <w:ilvl w:val="0"/>
          <w:numId w:val="26"/>
        </w:numPr>
        <w:spacing w:lineRule="exact" w:line="276" w:before="0" w:after="100"/>
        <w:jc w:val="both"/>
        <w:rPr>
          <w:highlight w:val="none"/>
          <w:shd w:fill="auto" w:val="clear"/>
        </w:rPr>
      </w:pPr>
      <w:r>
        <w:rPr>
          <w:rFonts w:eastAsia="Calibri" w:cs="Calibri" w:ascii="Calibri" w:hAnsi="Calibri"/>
          <w:sz w:val="22"/>
          <w:szCs w:val="22"/>
          <w:shd w:fill="auto" w:val="clear"/>
        </w:rPr>
        <w:t>essere in regola con gli obblighi contributivi, previd</w:t>
      </w:r>
      <w:r>
        <w:rPr>
          <w:rFonts w:eastAsia="Calibri" w:cs="Calibri" w:ascii="Calibri" w:hAnsi="Calibri"/>
          <w:strike w:val="false"/>
          <w:dstrike w:val="false"/>
          <w:sz w:val="22"/>
          <w:szCs w:val="22"/>
          <w:shd w:fill="auto" w:val="clear"/>
        </w:rPr>
        <w:t>enziali e fiscali (DURC in cors</w:t>
      </w:r>
      <w:r>
        <w:rPr>
          <w:rFonts w:eastAsia="Calibri" w:cs="Calibri" w:ascii="Calibri" w:hAnsi="Calibri"/>
          <w:sz w:val="22"/>
          <w:szCs w:val="22"/>
          <w:shd w:fill="auto" w:val="clear"/>
        </w:rPr>
        <w:t>o di validità, ove l'ente sia tenuto in ragione della presenza di personale dipendente, ovvero autocertificazione dei relativi requisiti);</w:t>
      </w:r>
    </w:p>
    <w:p>
      <w:pPr>
        <w:pStyle w:val="ListParagraph"/>
        <w:numPr>
          <w:ilvl w:val="0"/>
          <w:numId w:val="27"/>
        </w:numPr>
        <w:spacing w:lineRule="exact" w:line="276" w:before="0" w:after="100"/>
        <w:jc w:val="both"/>
        <w:rPr>
          <w:highlight w:val="none"/>
          <w:shd w:fill="auto" w:val="clear"/>
        </w:rPr>
      </w:pPr>
      <w:r>
        <w:rPr>
          <w:rFonts w:eastAsia="Calibri" w:cs="Calibri" w:ascii="Calibri" w:hAnsi="Calibri"/>
          <w:sz w:val="22"/>
          <w:szCs w:val="22"/>
          <w:shd w:fill="auto" w:val="clear"/>
        </w:rPr>
        <w:t>possedere una comprovata e documentata esperienza di almeno 2 (due) anni continuativi, maturata nei 5 (cinque) anni antecedenti la pubblicazione del presente Avviso, nella gestione diretta di attività socio-culturali e ricreative rivolte alla collettività o a categorie di utenza fragile; l'esperienza dovrà essere dimostrata mediante idonea documentazione a comprova (a titolo esemplificativo: convenzioni, atti di affidamento o concessione, bilanci o rendiconti approvati, attestazioni rilasciate da enti pubblici o privati), da allegare all'istanza;</w:t>
      </w:r>
    </w:p>
    <w:p>
      <w:pPr>
        <w:pStyle w:val="ListParagraph"/>
        <w:numPr>
          <w:ilvl w:val="0"/>
          <w:numId w:val="28"/>
        </w:numPr>
        <w:spacing w:lineRule="exact" w:line="276" w:before="0" w:after="100"/>
        <w:jc w:val="both"/>
        <w:rPr>
          <w:highlight w:val="none"/>
          <w:shd w:fill="auto" w:val="clear"/>
        </w:rPr>
      </w:pPr>
      <w:r>
        <w:rPr>
          <w:rFonts w:eastAsia="Calibri" w:cs="Calibri" w:ascii="Calibri" w:hAnsi="Calibri"/>
          <w:sz w:val="22"/>
          <w:szCs w:val="22"/>
          <w:shd w:fill="auto" w:val="clear"/>
        </w:rPr>
        <w:t>impegnarsi ad assicurare la pubblica fruizione degli spazi, in coerenza con il vincolo urbanistico di cui ai punti 2 e 3, e la continuità del servizio reso alla cittadinanza;</w:t>
      </w:r>
    </w:p>
    <w:p>
      <w:pPr>
        <w:pStyle w:val="ListParagraph"/>
        <w:numPr>
          <w:ilvl w:val="0"/>
          <w:numId w:val="29"/>
        </w:numPr>
        <w:spacing w:lineRule="exact" w:line="276" w:before="0" w:after="100"/>
        <w:jc w:val="both"/>
        <w:rPr>
          <w:highlight w:val="none"/>
          <w:shd w:fill="auto" w:val="clear"/>
        </w:rPr>
      </w:pPr>
      <w:r>
        <w:rPr>
          <w:rFonts w:eastAsia="Calibri" w:cs="Calibri" w:ascii="Calibri" w:hAnsi="Calibri"/>
          <w:sz w:val="22"/>
          <w:szCs w:val="22"/>
          <w:shd w:fill="auto" w:val="clear"/>
        </w:rPr>
        <w:t xml:space="preserve">disporre, o impegnarsi a dotarsi, di una sede operativa nel Comune di Misano Adriatico o in uno dei Comuni confinanti </w:t>
      </w:r>
      <w:r>
        <w:rPr>
          <w:rFonts w:eastAsia="Calibri" w:cs="Calibri" w:ascii="Calibri" w:hAnsi="Calibri"/>
          <w:color w:val="000000"/>
          <w:sz w:val="22"/>
          <w:szCs w:val="22"/>
          <w:shd w:fill="auto" w:val="clear"/>
        </w:rPr>
        <w:t xml:space="preserve">(Cattolica, Coriano, Riccione, San Clemente, San Giovanni in Marignano), </w:t>
      </w:r>
      <w:r>
        <w:rPr>
          <w:rFonts w:eastAsia="Calibri" w:cs="Calibri" w:ascii="Calibri" w:hAnsi="Calibri"/>
          <w:sz w:val="22"/>
          <w:szCs w:val="22"/>
          <w:shd w:fill="auto" w:val="clear"/>
        </w:rPr>
        <w:t>funzionale alla fruizione dei servizi da parte dell'utenza di riferimento.</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Il possesso dei requisiti è attestato mediante dichiarazione sostitutiva ai sensi del D.P.R. 28 dicembre 2000, n. 445.</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Si precisa che il presente contratto di locazione, configurandosi come contratto attivo, non rientra nell'ambito applicativo del D.Lgs. 31 marzo 2023, n. 36, ai sensi dell'art. 13, comma 2, del medesimo Codice, e viene affidato nel rispetto dei principi di cui agli artt. 1, 2 e 3 dello stesso (art. 13, comma 5). La Fon</w:t>
      </w:r>
      <w:r>
        <w:rPr>
          <w:rFonts w:eastAsia="Calibri" w:cs="Calibri" w:ascii="Calibri" w:hAnsi="Calibri"/>
          <w:sz w:val="22"/>
          <w:szCs w:val="22"/>
          <w:shd w:fill="auto" w:val="clear"/>
        </w:rPr>
        <w:t xml:space="preserve">dazione, quale organismo di diritto pubblico e IPAB, tenuta al rispetto </w:t>
      </w:r>
      <w:r>
        <w:rPr>
          <w:rFonts w:eastAsia="Calibri" w:cs="Calibri" w:ascii="Calibri" w:hAnsi="Calibri"/>
          <w:sz w:val="22"/>
          <w:szCs w:val="22"/>
          <w:shd w:fill="auto" w:val="clear"/>
        </w:rPr>
        <w:t>dei principi di imparzialità, trasparenza e parità di trattamento nella scelta dei propri contraenti, applica tuttavia, in via volontaria e quale regola vincolante della presente procedura, le cause di esclusione automatica di cui all'art. 94 e non automatica di cui agli artt. 95 e 98 del citato decreto legislativo.</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La Fondazione si riserva di richiedere, in fase istruttoria, ogni ulteriore documento o chiarimento ritenuto necessario alla verifica dei requ</w:t>
      </w:r>
      <w:r>
        <w:rPr>
          <w:rFonts w:eastAsia="Calibri" w:cs="Calibri" w:ascii="Calibri" w:hAnsi="Calibri"/>
          <w:sz w:val="22"/>
          <w:szCs w:val="22"/>
          <w:shd w:fill="auto" w:val="clear"/>
        </w:rPr>
        <w:t>isiti dichiarati. A tal fine assegna un termine non superiore a 5 (cinque) giorni per la regolarizzazione o integrazione della documentazione incompleta; la mancata regolarizzazione nel termine assegnato comporta l'esclusione.</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6. Documentazione da presentare</w:t>
      </w:r>
    </w:p>
    <w:p>
      <w:pPr>
        <w:pStyle w:val="ListParagraph"/>
        <w:numPr>
          <w:ilvl w:val="0"/>
          <w:numId w:val="30"/>
        </w:numPr>
        <w:spacing w:lineRule="exact" w:line="276" w:before="0" w:after="100"/>
        <w:jc w:val="both"/>
        <w:rPr>
          <w:highlight w:val="none"/>
          <w:shd w:fill="auto" w:val="clear"/>
        </w:rPr>
      </w:pPr>
      <w:r>
        <w:rPr>
          <w:rFonts w:eastAsia="Calibri" w:cs="Calibri" w:ascii="Calibri" w:hAnsi="Calibri"/>
          <w:sz w:val="22"/>
          <w:szCs w:val="22"/>
          <w:shd w:fill="auto" w:val="clear"/>
        </w:rPr>
        <w:t>Istanza di manifestazion</w:t>
      </w:r>
      <w:r>
        <w:rPr>
          <w:rFonts w:eastAsia="Calibri" w:cs="Calibri" w:ascii="Calibri" w:hAnsi="Calibri"/>
          <w:sz w:val="22"/>
          <w:szCs w:val="22"/>
          <w:shd w:fill="auto" w:val="clear"/>
        </w:rPr>
        <w:t>e di interesse, in esenzione dall'imposta di bollo ai sensi dell'art. 82, comma 5, del D.Lgs. 3 luglio 2017, n. 117 (ovvero con marca da bollo da € 16,00 per gli enti non rientranti nell'esenzione), sottoscritta dal legale rappresentante con firma digitale ovvero con firma autografa, in tal caso scansionata, sec</w:t>
      </w:r>
      <w:r>
        <w:rPr>
          <w:rFonts w:eastAsia="Calibri" w:cs="Calibri" w:ascii="Calibri" w:hAnsi="Calibri"/>
          <w:sz w:val="22"/>
          <w:szCs w:val="22"/>
          <w:shd w:fill="auto" w:val="clear"/>
        </w:rPr>
        <w:t>ondo lo schema allegato al presente avviso</w:t>
      </w:r>
      <w:r>
        <w:rPr>
          <w:rFonts w:eastAsia="Calibri" w:cs="Calibri" w:ascii="Calibri" w:hAnsi="Calibri"/>
          <w:strike w:val="false"/>
          <w:dstrike w:val="false"/>
          <w:color w:val="000000"/>
          <w:sz w:val="22"/>
          <w:szCs w:val="22"/>
          <w:shd w:fill="auto" w:val="clear"/>
        </w:rPr>
        <w:t>;</w:t>
      </w:r>
    </w:p>
    <w:p>
      <w:pPr>
        <w:pStyle w:val="ListParagraph"/>
        <w:numPr>
          <w:ilvl w:val="0"/>
          <w:numId w:val="31"/>
        </w:numPr>
        <w:spacing w:lineRule="exact" w:line="276" w:before="0" w:after="100"/>
        <w:jc w:val="both"/>
        <w:rPr>
          <w:highlight w:val="none"/>
          <w:shd w:fill="auto" w:val="clear"/>
        </w:rPr>
      </w:pPr>
      <w:r>
        <w:rPr>
          <w:rFonts w:eastAsia="Calibri" w:cs="Calibri" w:ascii="Calibri" w:hAnsi="Calibri"/>
          <w:sz w:val="22"/>
          <w:szCs w:val="22"/>
          <w:shd w:fill="auto" w:val="clear"/>
        </w:rPr>
        <w:t>Copia di documento di identità in corso di validità del sottoscrittore;</w:t>
      </w:r>
    </w:p>
    <w:p>
      <w:pPr>
        <w:pStyle w:val="ListParagraph"/>
        <w:numPr>
          <w:ilvl w:val="0"/>
          <w:numId w:val="32"/>
        </w:numPr>
        <w:spacing w:lineRule="exact" w:line="276" w:before="0" w:after="100"/>
        <w:jc w:val="both"/>
        <w:rPr>
          <w:highlight w:val="none"/>
          <w:shd w:fill="auto" w:val="clear"/>
        </w:rPr>
      </w:pPr>
      <w:r>
        <w:rPr>
          <w:rFonts w:eastAsia="Calibri" w:cs="Calibri" w:ascii="Calibri" w:hAnsi="Calibri"/>
          <w:sz w:val="22"/>
          <w:szCs w:val="22"/>
          <w:shd w:fill="auto" w:val="clear"/>
        </w:rPr>
        <w:t>Copia dello Statuto e dell'Atto costitutivo dell'ente;</w:t>
      </w:r>
    </w:p>
    <w:p>
      <w:pPr>
        <w:pStyle w:val="ListParagraph"/>
        <w:numPr>
          <w:ilvl w:val="0"/>
          <w:numId w:val="33"/>
        </w:numPr>
        <w:spacing w:lineRule="exact" w:line="276" w:before="0" w:after="100"/>
        <w:jc w:val="both"/>
        <w:rPr>
          <w:highlight w:val="none"/>
          <w:shd w:fill="auto" w:val="clear"/>
        </w:rPr>
      </w:pPr>
      <w:r>
        <w:rPr>
          <w:rFonts w:eastAsia="Calibri" w:cs="Calibri" w:ascii="Calibri" w:hAnsi="Calibri"/>
          <w:sz w:val="22"/>
          <w:szCs w:val="22"/>
          <w:shd w:fill="auto" w:val="clear"/>
        </w:rPr>
        <w:t>Estratto di iscrizione al RUNTS, ovvero copia della domanda di iscrizione prese</w:t>
      </w:r>
      <w:r>
        <w:rPr>
          <w:rFonts w:eastAsia="Calibri" w:cs="Calibri" w:ascii="Calibri" w:hAnsi="Calibri"/>
          <w:strike w:val="false"/>
          <w:dstrike w:val="false"/>
          <w:sz w:val="22"/>
          <w:szCs w:val="22"/>
          <w:shd w:fill="auto" w:val="clear"/>
        </w:rPr>
        <w:t>ntata;</w:t>
      </w:r>
    </w:p>
    <w:p>
      <w:pPr>
        <w:pStyle w:val="ListParagraph"/>
        <w:numPr>
          <w:ilvl w:val="0"/>
          <w:numId w:val="34"/>
        </w:numPr>
        <w:spacing w:lineRule="exact" w:line="276" w:before="0" w:after="100"/>
        <w:jc w:val="both"/>
        <w:rPr>
          <w:highlight w:val="none"/>
          <w:shd w:fill="auto" w:val="clear"/>
        </w:rPr>
      </w:pPr>
      <w:r>
        <w:rPr>
          <w:rFonts w:eastAsia="Calibri" w:cs="Calibri" w:ascii="Calibri" w:hAnsi="Calibri"/>
          <w:color w:val="000000"/>
          <w:sz w:val="22"/>
          <w:szCs w:val="22"/>
          <w:shd w:fill="auto" w:val="clear"/>
        </w:rPr>
        <w:t>Attestazione di adesione all'ente od organizzazione nazionale con finalità assistenziali riconosciute dal Ministero dell'Interno, di cui al punto 5, n. 2, del presente Avviso (requisito richiesto a tutti i partecipanti, a pena di esclusione);</w:t>
      </w:r>
    </w:p>
    <w:p>
      <w:pPr>
        <w:pStyle w:val="ListParagraph"/>
        <w:numPr>
          <w:ilvl w:val="0"/>
          <w:numId w:val="35"/>
        </w:numPr>
        <w:spacing w:lineRule="exact" w:line="276" w:before="0" w:after="100"/>
        <w:jc w:val="both"/>
        <w:rPr>
          <w:highlight w:val="none"/>
          <w:shd w:fill="auto" w:val="clear"/>
        </w:rPr>
      </w:pPr>
      <w:r>
        <w:rPr>
          <w:rFonts w:eastAsia="Calibri" w:cs="Calibri" w:ascii="Calibri" w:hAnsi="Calibri"/>
          <w:sz w:val="22"/>
          <w:szCs w:val="22"/>
          <w:shd w:fill="auto" w:val="clear"/>
        </w:rPr>
        <w:t>Breve relazione illustrativa del programma di attività che si intende svolgere presso l'immobile, con indicazione delle modalità con cui sarà assicurata la pubblica fruizione degli spazi;</w:t>
      </w:r>
    </w:p>
    <w:p>
      <w:pPr>
        <w:pStyle w:val="ListParagraph"/>
        <w:numPr>
          <w:ilvl w:val="0"/>
          <w:numId w:val="36"/>
        </w:numPr>
        <w:spacing w:lineRule="exact" w:line="276" w:before="0" w:after="100"/>
        <w:jc w:val="both"/>
        <w:rPr>
          <w:highlight w:val="none"/>
          <w:shd w:fill="auto" w:val="clear"/>
        </w:rPr>
      </w:pPr>
      <w:r>
        <w:rPr>
          <w:rFonts w:eastAsia="Calibri" w:cs="Calibri" w:ascii="Calibri" w:hAnsi="Calibri"/>
          <w:sz w:val="22"/>
          <w:szCs w:val="22"/>
          <w:shd w:fill="auto" w:val="clear"/>
        </w:rPr>
        <w:t>Curriculum dell'ente, con indicazione delle esperienze pregresse nel set</w:t>
      </w:r>
      <w:r>
        <w:rPr>
          <w:rFonts w:eastAsia="Calibri" w:cs="Calibri" w:ascii="Calibri" w:hAnsi="Calibri"/>
          <w:sz w:val="22"/>
          <w:szCs w:val="22"/>
          <w:shd w:fill="auto" w:val="clear"/>
        </w:rPr>
        <w:t>tore di riferimento;</w:t>
      </w:r>
    </w:p>
    <w:p>
      <w:pPr>
        <w:pStyle w:val="ListParagraph"/>
        <w:numPr>
          <w:ilvl w:val="0"/>
          <w:numId w:val="37"/>
        </w:numPr>
        <w:spacing w:lineRule="exact" w:line="276" w:before="0" w:after="100"/>
        <w:jc w:val="both"/>
        <w:rPr>
          <w:highlight w:val="none"/>
          <w:shd w:fill="auto" w:val="clear"/>
        </w:rPr>
      </w:pPr>
      <w:r>
        <w:rPr>
          <w:rFonts w:eastAsia="Calibri" w:cs="Calibri" w:ascii="Calibri" w:hAnsi="Calibri"/>
          <w:sz w:val="22"/>
          <w:szCs w:val="22"/>
          <w:shd w:fill="auto" w:val="clear"/>
        </w:rPr>
        <w:t>Documentazione a comprova dell'esperienza richiesta al punto 5 (convenzioni, atti di affidamento o concessione, bilanci o rendiconti approvati, attestazioni rilasciate da enti pubblici o privati);</w:t>
      </w:r>
    </w:p>
    <w:p>
      <w:pPr>
        <w:pStyle w:val="ListParagraph"/>
        <w:numPr>
          <w:ilvl w:val="0"/>
          <w:numId w:val="38"/>
        </w:numPr>
        <w:spacing w:lineRule="exact" w:line="276" w:before="0" w:after="100"/>
        <w:jc w:val="both"/>
        <w:rPr>
          <w:highlight w:val="none"/>
          <w:shd w:fill="auto" w:val="clear"/>
        </w:rPr>
      </w:pPr>
      <w:r>
        <w:rPr>
          <w:rFonts w:eastAsia="Calibri" w:cs="Calibri" w:ascii="Calibri" w:hAnsi="Calibri"/>
          <w:sz w:val="22"/>
          <w:szCs w:val="22"/>
          <w:shd w:fill="auto" w:val="clear"/>
        </w:rPr>
        <w:t>DURC in corso di validità, ove dovuto.</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7. Modalità e termine di presentazione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La manifestazione di interesse, corredata della documentazione richiesta, dovrà pervenire, a pena di esclusione, entro le ore </w:t>
      </w:r>
      <w:r>
        <w:rPr>
          <w:rFonts w:eastAsia="Calibri" w:cs="Calibri" w:ascii="Calibri" w:hAnsi="Calibri"/>
          <w:b/>
          <w:bCs/>
          <w:sz w:val="22"/>
          <w:szCs w:val="22"/>
          <w:shd w:fill="auto" w:val="clear"/>
        </w:rPr>
        <w:t>12:00 del giorno 06/11/2026</w:t>
      </w:r>
      <w:r>
        <w:rPr>
          <w:rFonts w:eastAsia="Calibri" w:cs="Calibri" w:ascii="Calibri" w:hAnsi="Calibri"/>
          <w:sz w:val="22"/>
          <w:szCs w:val="22"/>
          <w:shd w:fill="auto" w:val="clear"/>
        </w:rPr>
        <w:t>, esclusivamente a mezzo posta elettronica certificata al seguente indirizzo: ipab.delbianco@legalmail.it, con oggetto: “</w:t>
      </w:r>
      <w:r>
        <w:rPr>
          <w:rFonts w:eastAsia="Calibri" w:cs="Calibri" w:ascii="Calibri" w:hAnsi="Calibri"/>
          <w:b/>
          <w:bCs/>
          <w:sz w:val="22"/>
          <w:szCs w:val="22"/>
          <w:shd w:fill="auto" w:val="clear"/>
        </w:rPr>
        <w:t>Manifestazione di interesse – locazione immobile Centro Sociale Via Del Carro n. 21</w:t>
      </w:r>
      <w:r>
        <w:rPr>
          <w:rFonts w:eastAsia="Calibri" w:cs="Calibri" w:ascii="Calibri" w:hAnsi="Calibri"/>
          <w:sz w:val="22"/>
          <w:szCs w:val="22"/>
          <w:shd w:fill="auto" w:val="clear"/>
        </w:rPr>
        <w:t>”.</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Le istanze pervenute oltre il termine indicato non saranno prese in considerazione. Per la documentazione incompleta si applica quanto previsto al punto 5, ultimo capoverso.</w:t>
      </w:r>
    </w:p>
    <w:p>
      <w:pPr>
        <w:pStyle w:val="Normal"/>
        <w:spacing w:lineRule="exact" w:line="276" w:before="0" w:after="160"/>
        <w:jc w:val="both"/>
        <w:rPr>
          <w:highlight w:val="none"/>
          <w:shd w:fill="auto" w:val="clear"/>
        </w:rPr>
      </w:pPr>
      <w:r>
        <w:rPr>
          <w:rFonts w:eastAsia="Calibri" w:cs="Calibri" w:ascii="Calibri" w:hAnsi="Calibri"/>
          <w:b/>
          <w:bCs/>
          <w:color w:val="1F3864"/>
          <w:sz w:val="28"/>
          <w:szCs w:val="28"/>
          <w:shd w:fill="auto" w:val="clear"/>
        </w:rPr>
        <w:t>8. Sopralluogo</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 soggetti interessati potranno richiedere di effettuare un sopralluogo presso l'immobile, previo appuntamento da concordare contattando i recapiti indicati al successivo punto 11.</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9. Criteri per l'individuazione del conduttore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All’esito della verifica di ammissibilità delle manifestazioni di interesse pervenute, qualora ne risulti una sola in possesso dei requisiti richiesti, la</w:t>
      </w:r>
      <w:r>
        <w:rPr>
          <w:rFonts w:eastAsia="Calibri" w:cs="Calibri" w:ascii="Calibri" w:hAnsi="Calibri"/>
          <w:color w:val="000000"/>
          <w:sz w:val="22"/>
          <w:szCs w:val="22"/>
          <w:shd w:fill="auto" w:val="clear"/>
        </w:rPr>
        <w:t xml:space="preserve"> Fondazione potrà procedere direttamente con il soggetto interessato, dandone atto con provvedimento motivato. In tal caso il soggetto è comunque tenuto a presentare l'offerta definitiva di cui al presente punto; la negoziazione non potrà comportare un canone inferiore a quello posto a base della procedura né la modifica delle condizioni essenziali di cui ai punti 3 e 4.</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Qualora pervengano più manifestazioni di interesse ammissibili, la Fondazione invierà a tutti i soggetti ammessi apposita lettera di invito a presentare offerta definitiva, comprensiva dell’eventuale proposta di canone migliorativo e della documentazione integrativa ivi richie</w:t>
      </w:r>
      <w:r>
        <w:rPr>
          <w:rFonts w:eastAsia="Calibri" w:cs="Calibri" w:ascii="Calibri" w:hAnsi="Calibri"/>
          <w:sz w:val="22"/>
          <w:szCs w:val="22"/>
          <w:shd w:fill="auto" w:val="clear"/>
        </w:rPr>
        <w:t xml:space="preserve">sta (ivi compresa la dichiarazione sostitutiva relativa al numero dei soci, all'anzianità della sede operativa e alla data di costituzione dell'ente). La comparazione delle offerte definitive pervenute sarà effettuata da una Commissione di valutazione nominata dal Presidente della Fondazione successivamente alla scadenza del termine per la presentazione delle offerte definitive fissato nella lettera di invito, sulla base dei seguenti </w:t>
      </w:r>
      <w:r>
        <w:rPr>
          <w:rFonts w:eastAsia="Calibri" w:cs="Calibri" w:ascii="Calibri" w:hAnsi="Calibri"/>
          <w:sz w:val="22"/>
          <w:szCs w:val="22"/>
          <w:shd w:fill="auto" w:val="clear"/>
        </w:rPr>
        <w:t>criteri, ciascuno articolato in sotto-elementi predeterminati e verificabili sulla base della documentazione allegata, senza margini di apprezzamento discrezionale:</w:t>
      </w:r>
    </w:p>
    <w:p>
      <w:pPr>
        <w:pStyle w:val="Normal"/>
        <w:spacing w:lineRule="exact" w:line="276" w:before="0" w:after="160"/>
        <w:jc w:val="both"/>
        <w:rPr>
          <w:rFonts w:ascii="Calibri" w:hAnsi="Calibri" w:eastAsia="Calibri" w:cs="Calibri"/>
          <w:sz w:val="22"/>
          <w:szCs w:val="22"/>
          <w:highlight w:val="none"/>
          <w:shd w:fill="auto" w:val="clear"/>
        </w:rPr>
      </w:pPr>
      <w:r>
        <w:rPr>
          <w:rFonts w:eastAsia="Calibri" w:cs="Calibri" w:ascii="Calibri" w:hAnsi="Calibri"/>
          <w:sz w:val="22"/>
          <w:szCs w:val="22"/>
          <w:shd w:fill="auto" w:val="clear"/>
        </w:rPr>
      </w:r>
    </w:p>
    <w:tbl>
      <w:tblPr>
        <w:tblW w:w="9300" w:type="dxa"/>
        <w:jc w:val="left"/>
        <w:tblInd w:w="105" w:type="dxa"/>
        <w:tblLayout w:type="fixed"/>
        <w:tblCellMar>
          <w:top w:w="90" w:type="dxa"/>
          <w:left w:w="100" w:type="dxa"/>
          <w:bottom w:w="90" w:type="dxa"/>
          <w:right w:w="100" w:type="dxa"/>
        </w:tblCellMar>
      </w:tblPr>
      <w:tblGrid>
        <w:gridCol w:w="3400"/>
        <w:gridCol w:w="900"/>
        <w:gridCol w:w="5000"/>
      </w:tblGrid>
      <w:tr>
        <w:trPr/>
        <w:tc>
          <w:tcPr>
            <w:tcW w:w="34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highlight w:val="none"/>
                <w:shd w:fill="auto" w:val="clear"/>
              </w:rPr>
            </w:pPr>
            <w:r>
              <w:rPr>
                <w:rFonts w:eastAsia="Calibri" w:cs="Calibri" w:ascii="Calibri" w:hAnsi="Calibri"/>
                <w:b/>
                <w:bCs/>
                <w:color w:val="FFFFFF"/>
                <w:sz w:val="20"/>
                <w:szCs w:val="20"/>
                <w:shd w:fill="auto" w:val="clear"/>
              </w:rPr>
              <w:t>Criterio</w:t>
            </w:r>
          </w:p>
        </w:tc>
        <w:tc>
          <w:tcPr>
            <w:tcW w:w="9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jc w:val="center"/>
              <w:rPr>
                <w:highlight w:val="none"/>
                <w:shd w:fill="auto" w:val="clear"/>
              </w:rPr>
            </w:pPr>
            <w:r>
              <w:rPr>
                <w:rFonts w:eastAsia="Calibri" w:cs="Calibri" w:ascii="Calibri" w:hAnsi="Calibri"/>
                <w:b/>
                <w:bCs/>
                <w:color w:val="FFFFFF"/>
                <w:sz w:val="20"/>
                <w:szCs w:val="20"/>
                <w:shd w:fill="auto" w:val="clear"/>
              </w:rPr>
              <w:t>Punti</w:t>
            </w:r>
          </w:p>
        </w:tc>
        <w:tc>
          <w:tcPr>
            <w:tcW w:w="50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highlight w:val="none"/>
                <w:shd w:fill="auto" w:val="clear"/>
              </w:rPr>
            </w:pPr>
            <w:r>
              <w:rPr>
                <w:rFonts w:eastAsia="Calibri" w:cs="Calibri" w:ascii="Calibri" w:hAnsi="Calibri"/>
                <w:b/>
                <w:bCs/>
                <w:color w:val="FFFFFF"/>
                <w:sz w:val="20"/>
                <w:szCs w:val="20"/>
                <w:shd w:fill="auto" w:val="clear"/>
              </w:rPr>
              <w:t>Modalità oggettiva di attribuzione del punteggio</w:t>
            </w:r>
          </w:p>
        </w:tc>
      </w:tr>
      <w:tr>
        <w:trPr/>
        <w:tc>
          <w:tcPr>
            <w:tcW w:w="3400" w:type="dxa"/>
            <w:tcBorders>
              <w:top w:val="single" w:sz="4" w:space="0" w:color="000000"/>
              <w:left w:val="single" w:sz="4" w:space="0" w:color="000000"/>
              <w:bottom w:val="single" w:sz="4" w:space="0" w:color="000000"/>
              <w:right w:val="single" w:sz="4" w:space="0" w:color="000000"/>
            </w:tcBorders>
            <w:shd w:fill="F2F2F2" w:val="clear"/>
          </w:tcPr>
          <w:p>
            <w:pPr>
              <w:pStyle w:val="Normal"/>
              <w:widowControl w:val="false"/>
              <w:rPr>
                <w:highlight w:val="none"/>
                <w:shd w:fill="auto" w:val="clear"/>
              </w:rPr>
            </w:pPr>
            <w:r>
              <w:rPr>
                <w:rFonts w:eastAsia="Calibri" w:cs="Calibri" w:ascii="Calibri" w:hAnsi="Calibri"/>
                <w:sz w:val="20"/>
                <w:szCs w:val="20"/>
                <w:shd w:fill="auto" w:val="clear"/>
              </w:rPr>
              <w:t>A. Coerenza del programma di attività con la funzione sociale e la destinazione urbanistica dell'immobile</w:t>
            </w:r>
          </w:p>
        </w:tc>
        <w:tc>
          <w:tcPr>
            <w:tcW w:w="900" w:type="dxa"/>
            <w:tcBorders>
              <w:top w:val="single" w:sz="4" w:space="0" w:color="000000"/>
              <w:left w:val="single" w:sz="4" w:space="0" w:color="000000"/>
              <w:bottom w:val="single" w:sz="4" w:space="0" w:color="000000"/>
              <w:right w:val="single" w:sz="4" w:space="0" w:color="000000"/>
            </w:tcBorders>
            <w:shd w:fill="F2F2F2" w:val="clear"/>
          </w:tcPr>
          <w:p>
            <w:pPr>
              <w:pStyle w:val="Normal"/>
              <w:widowControl w:val="false"/>
              <w:jc w:val="center"/>
              <w:rPr>
                <w:highlight w:val="none"/>
                <w:shd w:fill="auto" w:val="clear"/>
              </w:rPr>
            </w:pPr>
            <w:r>
              <w:rPr>
                <w:rFonts w:eastAsia="Calibri" w:cs="Calibri" w:ascii="Calibri" w:hAnsi="Calibri"/>
                <w:b/>
                <w:bCs/>
                <w:sz w:val="20"/>
                <w:szCs w:val="20"/>
                <w:shd w:fill="auto" w:val="clear"/>
              </w:rPr>
              <w:t>34</w:t>
            </w:r>
          </w:p>
        </w:tc>
        <w:tc>
          <w:tcPr>
            <w:tcW w:w="5000" w:type="dxa"/>
            <w:tcBorders>
              <w:top w:val="single" w:sz="4" w:space="0" w:color="000000"/>
              <w:left w:val="single" w:sz="4" w:space="0" w:color="000000"/>
              <w:bottom w:val="single" w:sz="4" w:space="0" w:color="000000"/>
              <w:right w:val="single" w:sz="4" w:space="0" w:color="000000"/>
            </w:tcBorders>
            <w:shd w:fill="F2F2F2" w:val="clear"/>
          </w:tcPr>
          <w:p>
            <w:pPr>
              <w:pStyle w:val="Normal"/>
              <w:widowControl w:val="false"/>
              <w:rPr>
                <w:highlight w:val="none"/>
                <w:shd w:fill="auto" w:val="clear"/>
              </w:rPr>
            </w:pPr>
            <w:r>
              <w:rPr>
                <w:rFonts w:eastAsia="Calibri" w:cs="Calibri" w:ascii="Calibri" w:hAnsi="Calibri"/>
                <w:sz w:val="20"/>
                <w:szCs w:val="20"/>
                <w:shd w:fill="auto" w:val="clear"/>
              </w:rPr>
              <w:t>- fino a 20 punti in base al numero di attività distinte, documentate nella relazione illustrativa, rivolte alla popolazione anziana o a categorie fragili (per attività si intende un'iniziativa con cadenza almeno mensile, descritta con indicazione di contenuti, destinatari e calendario)</w:t>
            </w:r>
            <w:r>
              <w:rPr>
                <w:rFonts w:eastAsia="Calibri" w:cs="Calibri" w:ascii="Calibri" w:hAnsi="Calibri"/>
                <w:strike w:val="false"/>
                <w:dstrike w:val="false"/>
                <w:sz w:val="20"/>
                <w:szCs w:val="20"/>
                <w:shd w:fill="auto" w:val="clear"/>
              </w:rPr>
              <w:t xml:space="preserve">  - 2 pu</w:t>
            </w:r>
            <w:r>
              <w:rPr>
                <w:rFonts w:eastAsia="Calibri" w:cs="Calibri" w:ascii="Calibri" w:hAnsi="Calibri"/>
                <w:sz w:val="20"/>
                <w:szCs w:val="20"/>
                <w:shd w:fill="auto" w:val="clear"/>
              </w:rPr>
              <w:t>nti per attività, fino a un ma</w:t>
            </w:r>
            <w:r>
              <w:rPr>
                <w:rFonts w:eastAsia="Calibri" w:cs="Calibri" w:ascii="Calibri" w:hAnsi="Calibri"/>
                <w:strike w:val="false"/>
                <w:dstrike w:val="false"/>
                <w:sz w:val="20"/>
                <w:szCs w:val="20"/>
                <w:shd w:fill="auto" w:val="clear"/>
              </w:rPr>
              <w:t xml:space="preserve">ssimo di 20; </w:t>
            </w:r>
            <w:r>
              <w:rPr>
                <w:rFonts w:eastAsia="Calibri" w:cs="Calibri" w:ascii="Calibri" w:hAnsi="Calibri"/>
                <w:sz w:val="20"/>
                <w:szCs w:val="20"/>
                <w:shd w:fill="auto" w:val="clear"/>
              </w:rPr>
              <w:t xml:space="preserve"> - fino a 14 punti in base al numero di giornate settimanali di apertura al pubblico proposte (2 punti per ciascuna giornata settimanale, fino a un massimo di 14)</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0"/>
                <w:szCs w:val="20"/>
                <w:shd w:fill="auto" w:val="clear"/>
              </w:rPr>
              <w:t>B. Esperienza pregressa e solidità organizzativa dell'ente</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rFonts w:eastAsia="Calibri" w:cs="Calibri" w:ascii="Calibri" w:hAnsi="Calibri"/>
                <w:b/>
                <w:bCs/>
                <w:sz w:val="20"/>
                <w:szCs w:val="20"/>
                <w:shd w:fill="auto" w:val="clear"/>
              </w:rPr>
              <w:t>30</w:t>
            </w:r>
          </w:p>
        </w:tc>
        <w:tc>
          <w:tcPr>
            <w:tcW w:w="500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0"/>
                <w:szCs w:val="20"/>
                <w:shd w:fill="auto" w:val="clear"/>
              </w:rPr>
              <w:t>- 2 punti per ogni semestre di esperienza documentata ulteriore rispetto al requisito minimo di cui al punto 5 del presente Avviso, maturata nei 10 (dieci) anni antecedenti la pubblicazione, fino a un massimo di 20 punti;</w:t>
            </w:r>
          </w:p>
          <w:p>
            <w:pPr>
              <w:pStyle w:val="Normal"/>
              <w:widowControl w:val="false"/>
              <w:rPr>
                <w:highlight w:val="none"/>
                <w:shd w:fill="auto" w:val="clear"/>
              </w:rPr>
            </w:pPr>
            <w:r>
              <w:rPr>
                <w:rFonts w:eastAsia="Calibri" w:cs="Calibri" w:ascii="Calibri" w:hAnsi="Calibri"/>
                <w:sz w:val="20"/>
                <w:szCs w:val="20"/>
                <w:shd w:fill="auto" w:val="clear"/>
              </w:rPr>
              <w:t>- 10 punti se l'ente conta un numero di soci/tesserati pari o superiore a</w:t>
            </w:r>
            <w:r>
              <w:rPr>
                <w:rFonts w:eastAsia="Calibri" w:cs="Calibri" w:ascii="Calibri" w:hAnsi="Calibri"/>
                <w:strike w:val="false"/>
                <w:dstrike w:val="false"/>
                <w:sz w:val="20"/>
                <w:szCs w:val="20"/>
                <w:shd w:fill="auto" w:val="clear"/>
              </w:rPr>
              <w:t xml:space="preserve"> 50 risultante</w:t>
            </w:r>
            <w:r>
              <w:rPr>
                <w:rFonts w:eastAsia="Calibri" w:cs="Calibri" w:ascii="Calibri" w:hAnsi="Calibri"/>
                <w:sz w:val="20"/>
                <w:szCs w:val="20"/>
                <w:shd w:fill="auto" w:val="clear"/>
              </w:rPr>
              <w:t xml:space="preserve"> da dichiarazione sostitutiva del legale rappresentante riferita al libro soci aggiornato alla data di pubblicazione dell'Avviso, 5 punti se compreso tra 20 e 49, 0 punti se inferiore a 20.</w:t>
            </w:r>
          </w:p>
        </w:tc>
      </w:tr>
      <w:tr>
        <w:trPr/>
        <w:tc>
          <w:tcPr>
            <w:tcW w:w="3400" w:type="dxa"/>
            <w:tcBorders>
              <w:top w:val="single" w:sz="4" w:space="0" w:color="000000"/>
              <w:left w:val="single" w:sz="4" w:space="0" w:color="000000"/>
              <w:bottom w:val="single" w:sz="4" w:space="0" w:color="000000"/>
              <w:right w:val="single" w:sz="4" w:space="0" w:color="000000"/>
            </w:tcBorders>
            <w:shd w:fill="F2F2F2" w:val="clear"/>
          </w:tcPr>
          <w:p>
            <w:pPr>
              <w:pStyle w:val="Normal"/>
              <w:widowControl w:val="false"/>
              <w:rPr>
                <w:highlight w:val="none"/>
                <w:shd w:fill="auto" w:val="clear"/>
              </w:rPr>
            </w:pPr>
            <w:r>
              <w:rPr>
                <w:rFonts w:eastAsia="Calibri" w:cs="Calibri" w:ascii="Calibri" w:hAnsi="Calibri"/>
                <w:sz w:val="20"/>
                <w:szCs w:val="20"/>
                <w:shd w:fill="auto" w:val="clear"/>
              </w:rPr>
              <w:t>C. Continuità gestionale e radicamento nel territorio comunale</w:t>
            </w:r>
          </w:p>
        </w:tc>
        <w:tc>
          <w:tcPr>
            <w:tcW w:w="900" w:type="dxa"/>
            <w:tcBorders>
              <w:top w:val="single" w:sz="4" w:space="0" w:color="000000"/>
              <w:left w:val="single" w:sz="4" w:space="0" w:color="000000"/>
              <w:bottom w:val="single" w:sz="4" w:space="0" w:color="000000"/>
              <w:right w:val="single" w:sz="4" w:space="0" w:color="000000"/>
            </w:tcBorders>
            <w:shd w:fill="F2F2F2" w:val="clear"/>
          </w:tcPr>
          <w:p>
            <w:pPr>
              <w:pStyle w:val="Normal"/>
              <w:widowControl w:val="false"/>
              <w:jc w:val="center"/>
              <w:rPr>
                <w:highlight w:val="none"/>
                <w:shd w:fill="auto" w:val="clear"/>
              </w:rPr>
            </w:pPr>
            <w:r>
              <w:rPr>
                <w:rFonts w:eastAsia="Calibri" w:cs="Calibri" w:ascii="Calibri" w:hAnsi="Calibri"/>
                <w:b/>
                <w:bCs/>
                <w:sz w:val="20"/>
                <w:szCs w:val="20"/>
                <w:shd w:fill="auto" w:val="clear"/>
              </w:rPr>
              <w:t>16</w:t>
            </w:r>
          </w:p>
        </w:tc>
        <w:tc>
          <w:tcPr>
            <w:tcW w:w="5000" w:type="dxa"/>
            <w:tcBorders>
              <w:top w:val="single" w:sz="4" w:space="0" w:color="000000"/>
              <w:left w:val="single" w:sz="4" w:space="0" w:color="000000"/>
              <w:bottom w:val="single" w:sz="4" w:space="0" w:color="000000"/>
              <w:right w:val="single" w:sz="4" w:space="0" w:color="000000"/>
            </w:tcBorders>
            <w:shd w:fill="F2F2F2" w:val="clear"/>
          </w:tcPr>
          <w:p>
            <w:pPr>
              <w:pStyle w:val="Normal"/>
              <w:widowControl w:val="false"/>
              <w:rPr>
                <w:highlight w:val="none"/>
                <w:shd w:fill="auto" w:val="clear"/>
              </w:rPr>
            </w:pPr>
            <w:r>
              <w:rPr>
                <w:rFonts w:eastAsia="Calibri" w:cs="Calibri" w:ascii="Calibri" w:hAnsi="Calibri"/>
                <w:sz w:val="20"/>
                <w:szCs w:val="20"/>
                <w:shd w:fill="auto" w:val="clear"/>
              </w:rPr>
              <w:t>- 8 punti se l'ente dispone di sede operativa già attiva nel Comune di Misano Adriatico o in uno dei Comuni confinanti di cui al punto 5 da almeno 3 anni alla data di pubblicazione dell'Avviso, comprovata da estratto RUNTS o da atti equipollenti;</w:t>
            </w:r>
          </w:p>
          <w:p>
            <w:pPr>
              <w:pStyle w:val="Normal"/>
              <w:widowControl w:val="false"/>
              <w:rPr>
                <w:highlight w:val="none"/>
                <w:shd w:fill="auto" w:val="clear"/>
              </w:rPr>
            </w:pPr>
            <w:r>
              <w:rPr>
                <w:rFonts w:eastAsia="Calibri" w:cs="Calibri" w:ascii="Calibri" w:hAnsi="Calibri"/>
                <w:sz w:val="20"/>
                <w:szCs w:val="20"/>
                <w:shd w:fill="auto" w:val="clear"/>
              </w:rPr>
              <w:t>- 4 punti se la sede operativa è attiva da meno di 3 anni; 0 punti se la sede operativa è solo da attivare in caso di individuazione quale condut</w:t>
            </w:r>
            <w:r>
              <w:rPr>
                <w:rFonts w:eastAsia="Calibri" w:cs="Calibri" w:ascii="Calibri" w:hAnsi="Calibri"/>
                <w:strike w:val="false"/>
                <w:dstrike w:val="false"/>
                <w:sz w:val="20"/>
                <w:szCs w:val="20"/>
                <w:shd w:fill="auto" w:val="clear"/>
              </w:rPr>
              <w:t>tore</w:t>
            </w:r>
            <w:r>
              <w:rPr>
                <w:rFonts w:eastAsia="Calibri" w:cs="Calibri" w:ascii="Calibri" w:hAnsi="Calibri"/>
                <w:sz w:val="20"/>
                <w:szCs w:val="20"/>
                <w:shd w:fill="auto" w:val="clear"/>
              </w:rPr>
              <w:t>; 4 punti se l'ente risulta costituito da oltre 10 anni, 2 punti se costituito da 5 a 10 anni, 0 punti se costituito da meno di 5 anni, come da atto costitutivo;</w:t>
            </w:r>
          </w:p>
          <w:p>
            <w:pPr>
              <w:pStyle w:val="Normal"/>
              <w:widowControl w:val="false"/>
              <w:rPr>
                <w:highlight w:val="none"/>
                <w:shd w:fill="auto" w:val="clear"/>
              </w:rPr>
            </w:pPr>
            <w:r>
              <w:rPr>
                <w:rFonts w:eastAsia="Calibri" w:cs="Calibri" w:ascii="Calibri" w:hAnsi="Calibri"/>
                <w:sz w:val="20"/>
                <w:szCs w:val="20"/>
                <w:shd w:fill="auto" w:val="clear"/>
              </w:rPr>
              <w:t>- 4 punti se l'ente conta almeno 50 soci residenti nel Comune di Misano Adriatico, 2 punti se ne conta da 20 a 49, 0 punti se ne conta meno di 20, come risultante da dichiarazione sostitutiva riferita al libro soci.</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0"/>
                <w:szCs w:val="20"/>
                <w:shd w:fill="auto" w:val="clear"/>
              </w:rPr>
              <w:t>D. Canone offerto</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rFonts w:eastAsia="Calibri" w:cs="Calibri" w:ascii="Calibri" w:hAnsi="Calibri"/>
                <w:b/>
                <w:bCs/>
                <w:sz w:val="20"/>
                <w:szCs w:val="20"/>
                <w:shd w:fill="auto" w:val="clear"/>
              </w:rPr>
              <w:t>20</w:t>
            </w:r>
          </w:p>
        </w:tc>
        <w:tc>
          <w:tcPr>
            <w:tcW w:w="500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rFonts w:eastAsia="Calibri" w:cs="Calibri" w:ascii="Calibri" w:hAnsi="Calibri"/>
                <w:sz w:val="20"/>
                <w:szCs w:val="20"/>
                <w:shd w:fill="auto" w:val="clear"/>
              </w:rPr>
              <w:t>Punteggio attribuito in proporzione matematica, secondo la formula:</w:t>
            </w:r>
            <w:r>
              <w:rPr>
                <w:rFonts w:eastAsia="Calibri" w:cs="Calibri" w:ascii="Calibri" w:hAnsi="Calibri"/>
                <w:b/>
                <w:bCs/>
                <w:sz w:val="20"/>
                <w:szCs w:val="20"/>
                <w:shd w:fill="auto" w:val="clear"/>
              </w:rPr>
              <w:t xml:space="preserve"> Punteggio = 20 × (canone annuo offerto dal concorrente / canone annuo più elevato tra quelli offerti in sede di procedura)</w:t>
            </w:r>
            <w:r>
              <w:rPr>
                <w:rFonts w:eastAsia="Calibri" w:cs="Calibri" w:ascii="Calibri" w:hAnsi="Calibri"/>
                <w:sz w:val="20"/>
                <w:szCs w:val="20"/>
                <w:shd w:fill="auto" w:val="clear"/>
              </w:rPr>
              <w:t>. Al concorrente che offre il canone più alto sono attribuiti 20 punti; agli altri un punteggio proporzionalmente ridotto.</w:t>
            </w:r>
          </w:p>
          <w:p>
            <w:pPr>
              <w:pStyle w:val="Normal"/>
              <w:widowControl w:val="false"/>
              <w:rPr>
                <w:highlight w:val="none"/>
                <w:shd w:fill="auto" w:val="clear"/>
              </w:rPr>
            </w:pPr>
            <w:r>
              <w:rPr>
                <w:rFonts w:eastAsia="Calibri" w:cs="Calibri" w:ascii="Calibri" w:hAnsi="Calibri"/>
                <w:sz w:val="20"/>
                <w:szCs w:val="20"/>
                <w:shd w:fill="auto" w:val="clear"/>
              </w:rPr>
              <w:t>Il punteggio è calcolato con arrotondamento alla seconda cifra decimale, per eccesso qualora la terza cifra decimale sia pari o superiore a 5, per difetto qualora sia inferiore a 5.</w:t>
            </w:r>
          </w:p>
        </w:tc>
      </w:tr>
    </w:tbl>
    <w:p>
      <w:pPr>
        <w:pStyle w:val="Normal"/>
        <w:spacing w:lineRule="exact" w:line="276" w:before="0" w:after="160"/>
        <w:jc w:val="both"/>
        <w:rPr>
          <w:rFonts w:ascii="Calibri" w:hAnsi="Calibri" w:eastAsia="Calibri" w:cs="Calibri"/>
          <w:sz w:val="22"/>
          <w:szCs w:val="22"/>
          <w:highlight w:val="none"/>
          <w:shd w:fill="auto" w:val="clear"/>
        </w:rPr>
      </w:pPr>
      <w:r>
        <w:rPr>
          <w:rFonts w:eastAsia="Calibri" w:cs="Calibri" w:ascii="Calibri" w:hAnsi="Calibri"/>
          <w:sz w:val="22"/>
          <w:szCs w:val="22"/>
          <w:shd w:fill="auto" w:val="clear"/>
        </w:rPr>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Il punteggio comp</w:t>
      </w:r>
      <w:r>
        <w:rPr>
          <w:rFonts w:eastAsia="Calibri" w:cs="Calibri" w:ascii="Calibri" w:hAnsi="Calibri"/>
          <w:sz w:val="22"/>
          <w:szCs w:val="22"/>
          <w:shd w:fill="auto" w:val="clear"/>
        </w:rPr>
        <w:t>lessivo di ciascuna offerta definitiva è dato dalla somma dei punteggi attribuiti ai criteri A, B, C e D, fino a un massimo di 100 punti. In caso di parità del punteggio complessivo, si applicano, in ordine successivo e fino a che non sia sciolta la parità, i seguenti criteri di preferenza: a) maggior punteggio conseguito nel criterio A; b) canone annuo offerto più elevato; c) maggiore anzianità di iscrizione al RUNTS ovvero, per gli enti non ancora iscritti, maggiore anzianità di costituzione; d) sorteggio pubblico, in seduta pubblica presso la sede della Fondazione, alla presenza di almeno due testimoni e con verbalizzazione a cura del Segretario, previa comunicazione della data agli interessati con almeno 5 (cinque) giorni di preavviso.</w:t>
      </w:r>
    </w:p>
    <w:p>
      <w:pPr>
        <w:pStyle w:val="Normal"/>
        <w:spacing w:lineRule="exact" w:line="276" w:before="0" w:after="160"/>
        <w:jc w:val="both"/>
        <w:rPr>
          <w:highlight w:val="none"/>
          <w:shd w:fill="auto" w:val="clear"/>
        </w:rPr>
      </w:pPr>
      <w:r>
        <w:rPr>
          <w:rFonts w:eastAsia="Calibri" w:cs="Calibri" w:ascii="Calibri" w:hAnsi="Calibri"/>
          <w:color w:val="000000"/>
          <w:sz w:val="22"/>
          <w:szCs w:val="22"/>
          <w:shd w:fill="auto" w:val="clear"/>
        </w:rPr>
        <w:t>Gli impegni assunti nell'offerta definitiva e valutati ai fini dell'attribuzione del punteggio di cui al criterio A costituiranno obbligazioni contrattuali del conduttore e saranno riportati nel contratto di locazione. Il loro mancato rispetto, previa diffida, comporterà l'applicazione di una penale di € 100,00 (cento/00) per ciascuna violazione accertata e, in caso di inadempimento grave o reiterato, la risoluzione del contratto ai sensi dell'art. 1456 c.c.</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All'esito della comparazione, la Commissione redige la graduatoria e la trasmette al Consiglio di Amministrazione, cui è riservata l'individuazione del conduttore con provvedimento motivato.</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Si procederà alla stipula del contratto di locazione solo a seguito del positivo esito degli accertamenti, nei confronti del soggetto individuato quale conduttore, circa l'insussistenza delle cause di esclusione automatica (art. 94) e non automatica (artt. 95 e 98) del D.Lgs. 31 marzo 2023, n. 36, nonché della veridicità delle dichiarazioni sostitutive rese ai sensi degli artt. 46 e 47 del D.P.R. 28 dicembre 2000, n. 445, che la Fondazione verificherà ai sensi dell'art. 71 del medesimo decreto. L'esito negativo di tali accertamenti comporta la decadenza dall'individuazione quale conduttore, fermo restando quanto previsto al punto 10 del presente Avvis</w:t>
      </w:r>
      <w:r>
        <w:rPr>
          <w:rFonts w:eastAsia="Calibri" w:cs="Calibri" w:ascii="Calibri" w:hAnsi="Calibri"/>
          <w:sz w:val="22"/>
          <w:szCs w:val="22"/>
          <w:shd w:fill="auto" w:val="clear"/>
        </w:rPr>
        <w:t>o. In tal caso la Fondazione potrà procedere con il concorrente che segue in graduatoria.</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10. Riserve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La Fondazione si riserva, a proprio insindacabile giudizio, di sospendere, modificare, revocare o annullare in qualsiasi momento il presente avviso e la procedura conseguente, senza che ciò possa comportare pretesa alcuna da parte dei soggetti che abbiano manifestato interesse, ivi compreso il diritto al rimborso di spese o oneri eventualmente sostenuti per la partecipazione.</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Resta salva la facoltà della Fondazione di non dar seguito, in tutto o in parte, alla presente procedura, qualora ne ravvisi l'opportunità in relazione al perseguimento dei propri fini istituzionali.</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11. Informazioni</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Recapiti: tel. 0541/618432 </w:t>
      </w:r>
    </w:p>
    <w:p>
      <w:pPr>
        <w:pStyle w:val="Normal"/>
        <w:spacing w:lineRule="exact" w:line="276" w:before="0" w:after="160"/>
        <w:jc w:val="both"/>
        <w:rPr/>
      </w:pPr>
      <w:r>
        <w:rPr>
          <w:rFonts w:eastAsia="Calibri" w:cs="Calibri" w:ascii="Calibri" w:hAnsi="Calibri"/>
          <w:sz w:val="22"/>
          <w:szCs w:val="22"/>
          <w:shd w:fill="auto" w:val="clear"/>
        </w:rPr>
        <w:t xml:space="preserve">e-mail </w:t>
      </w:r>
      <w:r>
        <w:rPr>
          <w:rStyle w:val="CollegamentoInternet"/>
          <w:rFonts w:eastAsia="Calibri" w:cs="Calibri" w:ascii="Calibri" w:hAnsi="Calibri"/>
          <w:color w:val="000000"/>
          <w:sz w:val="22"/>
          <w:szCs w:val="22"/>
          <w:shd w:fill="auto" w:val="clear"/>
        </w:rPr>
        <w:t>fondazione@comune.misano-adriatico.rn.it</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PEC: ipab.delbianco@legalmail.it</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Responsabile del procedimento: il Presidente Dott. Alvio Semprini</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 xml:space="preserve">Eventuali richieste di chiarimento potranno essere inoltrate esclusivamente per iscritto, ai recapiti sopra indicati, entro il giorno </w:t>
      </w:r>
      <w:r>
        <w:rPr>
          <w:rFonts w:eastAsia="Calibri" w:cs="Calibri" w:ascii="Calibri" w:hAnsi="Calibri"/>
          <w:b/>
          <w:bCs/>
          <w:sz w:val="22"/>
          <w:szCs w:val="22"/>
          <w:shd w:fill="auto" w:val="clear"/>
        </w:rPr>
        <w:t>venerdì 30/10/2026.</w:t>
      </w:r>
    </w:p>
    <w:p>
      <w:pPr>
        <w:pStyle w:val="Titolo1"/>
        <w:spacing w:before="320" w:after="160"/>
        <w:rPr>
          <w:highlight w:val="none"/>
          <w:shd w:fill="auto" w:val="clear"/>
        </w:rPr>
      </w:pPr>
      <w:r>
        <w:rPr>
          <w:rFonts w:eastAsia="Calibri" w:cs="Calibri" w:ascii="Calibri" w:hAnsi="Calibri"/>
          <w:b/>
          <w:bCs/>
          <w:color w:val="1F3864"/>
          <w:sz w:val="28"/>
          <w:szCs w:val="28"/>
          <w:shd w:fill="auto" w:val="clear"/>
        </w:rPr>
        <w:t>12. Trattamento dei dati personali</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 dati personali conferiti saranno trattati dalla Fondazione, in qualità di titolare del trattamento, esclusivamente per le finalità connesse alla presente procedura, nel rispetto del Regolamento (UE) 2016/679 e della normativa nazionale vigente in materia di protezione dei dati personali.</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Il presente avviso è pubblicato sul sito istituzionale della Fondazione per un periodo non inferiore a 30 (trenta) giorni consecutivi.</w:t>
      </w:r>
    </w:p>
    <w:p>
      <w:pPr>
        <w:pStyle w:val="Normal"/>
        <w:spacing w:lineRule="exact" w:line="276" w:before="0" w:after="160"/>
        <w:jc w:val="both"/>
        <w:rPr>
          <w:highlight w:val="none"/>
          <w:shd w:fill="auto" w:val="clear"/>
        </w:rPr>
      </w:pPr>
      <w:r>
        <w:rPr>
          <w:rFonts w:eastAsia="Calibri" w:cs="Calibri" w:ascii="Calibri" w:hAnsi="Calibri"/>
          <w:sz w:val="22"/>
          <w:szCs w:val="22"/>
          <w:shd w:fill="auto" w:val="clear"/>
        </w:rPr>
        <w:t>Misano Adriatico, 05/10/2026</w:t>
      </w:r>
    </w:p>
    <w:p>
      <w:pPr>
        <w:pStyle w:val="Normal"/>
        <w:spacing w:lineRule="exact" w:line="276" w:before="0" w:after="160"/>
        <w:jc w:val="both"/>
        <w:rPr>
          <w:highlight w:val="none"/>
          <w:shd w:fill="auto" w:val="clear"/>
        </w:rPr>
      </w:pPr>
      <w:r>
        <w:rPr>
          <w:shd w:fill="auto" w:val="clear"/>
        </w:rPr>
      </w:r>
    </w:p>
    <w:p>
      <w:pPr>
        <w:pStyle w:val="Normal"/>
        <w:spacing w:lineRule="exact" w:line="276" w:before="0" w:after="160"/>
        <w:jc w:val="center"/>
        <w:rPr>
          <w:highlight w:val="none"/>
          <w:shd w:fill="auto" w:val="clear"/>
        </w:rPr>
      </w:pPr>
      <w:r>
        <w:rPr>
          <w:rFonts w:eastAsia="Calibri" w:cs="Calibri" w:ascii="Calibri" w:hAnsi="Calibri"/>
          <w:b w:val="false"/>
          <w:bCs w:val="false"/>
          <w:sz w:val="22"/>
          <w:szCs w:val="22"/>
          <w:shd w:fill="auto" w:val="clear"/>
        </w:rPr>
        <w:t>Il Presidente della Fondazione</w:t>
      </w:r>
    </w:p>
    <w:p>
      <w:pPr>
        <w:pStyle w:val="Normal"/>
        <w:jc w:val="center"/>
        <w:rPr>
          <w:highlight w:val="none"/>
          <w:shd w:fill="auto" w:val="clear"/>
        </w:rPr>
      </w:pPr>
      <w:r>
        <w:rPr>
          <w:rFonts w:eastAsia="Calibri" w:cs="Calibri" w:ascii="Calibri" w:hAnsi="Calibri"/>
          <w:b w:val="false"/>
          <w:bCs w:val="false"/>
          <w:color w:val="000000"/>
          <w:sz w:val="22"/>
          <w:szCs w:val="22"/>
          <w:shd w:fill="auto" w:val="clear"/>
        </w:rPr>
        <w:t>F.to Dott. Alvio Semprini</w:t>
      </w:r>
    </w:p>
    <w:sectPr>
      <w:type w:val="nextPage"/>
      <w:pgSz w:w="11906" w:h="16838"/>
      <w:pgMar w:left="1134" w:right="1134" w:gutter="0" w:header="0" w:top="1134"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1"/>
    <w:family w:val="swiss"/>
    <w:pitch w:val="default"/>
  </w:font>
  <w:font w:name="Arial">
    <w:charset w:val="01"/>
    <w:family w:val="swiss"/>
    <w:pitch w:val="default"/>
  </w:font>
  <w:font w:name="Calibri">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4" w:hanging="288"/>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0"/>
        </w:tabs>
        <w:ind w:left="504"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504" w:hanging="288"/>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0"/>
        </w:tabs>
        <w:ind w:left="504"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3"/>
    <w:lvlOverride w:ilvl="0">
      <w:startOverride w:val="1"/>
    </w:lvlOverride>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4"/>
    <w:lvlOverride w:ilvl="0">
      <w:startOverride w:val="1"/>
    </w:lvlOverride>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3"/>
  </w:num>
  <w:num w:numId="31">
    <w:abstractNumId w:val="3"/>
  </w:num>
  <w:num w:numId="32">
    <w:abstractNumId w:val="3"/>
  </w:num>
  <w:num w:numId="33">
    <w:abstractNumId w:val="3"/>
  </w:num>
  <w:num w:numId="34">
    <w:abstractNumId w:val="3"/>
  </w:num>
  <w:num w:numId="35">
    <w:abstractNumId w:val="3"/>
  </w:num>
  <w:num w:numId="36">
    <w:abstractNumId w:val="3"/>
  </w:num>
  <w:num w:numId="37">
    <w:abstractNumId w:val="3"/>
  </w:num>
  <w:num w:numId="38">
    <w:abstractNumId w:val="3"/>
  </w:num>
</w:numbering>
</file>

<file path=word/settings.xml><?xml version="1.0" encoding="utf-8"?>
<w:settings xmlns:w="http://schemas.openxmlformats.org/wordprocessingml/2006/main">
  <w:zoom w:percent="11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NSimSun" w:cs="Lucida Sans"/>
      <w:color w:val="auto"/>
      <w:kern w:val="0"/>
      <w:sz w:val="20"/>
      <w:szCs w:val="20"/>
      <w:lang w:val="it-IT" w:eastAsia="zh-CN" w:bidi="hi-IN"/>
    </w:rPr>
  </w:style>
  <w:style w:type="paragraph" w:styleId="Titolo1">
    <w:name w:val="Heading 1"/>
    <w:basedOn w:val="Titolo"/>
    <w:qFormat/>
    <w:pPr/>
    <w:rPr>
      <w:color w:val="2E74B5"/>
      <w:sz w:val="32"/>
      <w:szCs w:val="32"/>
    </w:rPr>
  </w:style>
  <w:style w:type="paragraph" w:styleId="Titolo2">
    <w:name w:val="Heading 2"/>
    <w:basedOn w:val="Titolo"/>
    <w:qFormat/>
    <w:pPr/>
    <w:rPr>
      <w:color w:val="2E74B5"/>
      <w:sz w:val="26"/>
      <w:szCs w:val="26"/>
    </w:rPr>
  </w:style>
  <w:style w:type="paragraph" w:styleId="Titolo3">
    <w:name w:val="Heading 3"/>
    <w:basedOn w:val="Titolo"/>
    <w:qFormat/>
    <w:pPr/>
    <w:rPr>
      <w:color w:val="1F4D78"/>
      <w:sz w:val="24"/>
      <w:szCs w:val="24"/>
    </w:rPr>
  </w:style>
  <w:style w:type="paragraph" w:styleId="Titolo4">
    <w:name w:val="Heading 4"/>
    <w:basedOn w:val="Titolo"/>
    <w:qFormat/>
    <w:pPr/>
    <w:rPr>
      <w:i/>
      <w:iCs/>
      <w:color w:val="2E74B5"/>
    </w:rPr>
  </w:style>
  <w:style w:type="paragraph" w:styleId="Titolo5">
    <w:name w:val="Heading 5"/>
    <w:basedOn w:val="Titolo"/>
    <w:qFormat/>
    <w:pPr/>
    <w:rPr>
      <w:color w:val="2E74B5"/>
    </w:rPr>
  </w:style>
  <w:style w:type="paragraph" w:styleId="Titolo6">
    <w:name w:val="Heading 6"/>
    <w:basedOn w:val="Titolo"/>
    <w:qFormat/>
    <w:pPr/>
    <w:rPr>
      <w:color w:val="1F4D78"/>
    </w:rPr>
  </w:style>
  <w:style w:type="character" w:styleId="CollegamentoInternet">
    <w:name w:val="Hyperlink"/>
    <w:uiPriority w:val="99"/>
    <w:unhideWhenUsed/>
    <w:rPr>
      <w:color w:val="0563C1"/>
      <w:u w:val="single"/>
    </w:rPr>
  </w:style>
  <w:style w:type="character" w:styleId="Caratterinotaapidipagina">
    <w:name w:val="Caratteri nota a piè di pagina"/>
    <w:qFormat/>
    <w:rPr>
      <w:vertAlign w:val="superscript"/>
    </w:rPr>
  </w:style>
  <w:style w:type="character" w:styleId="Richiamoallanotaapidipagina">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tterinotadichiusura">
    <w:name w:val="Caratteri nota di chiusura"/>
    <w:qFormat/>
    <w:rPr>
      <w:vertAlign w:val="superscript"/>
    </w:rPr>
  </w:style>
  <w:style w:type="character" w:styleId="Richiamoallanotadichiusura">
    <w:name w:val="Endnote Reference"/>
    <w:rPr>
      <w:vertAlign w:val="superscript"/>
    </w:rPr>
  </w:style>
  <w:style w:type="character" w:styleId="EndnoteTextChar">
    <w:name w:val="Endnote Text Char"/>
    <w:uiPriority w:val="99"/>
    <w:semiHidden/>
    <w:unhideWhenUsed/>
    <w:qFormat/>
    <w:rPr>
      <w:sz w:val="20"/>
      <w:szCs w:val="20"/>
    </w:rPr>
  </w:style>
  <w:style w:type="character" w:styleId="Strong">
    <w:name w:val="Strong"/>
    <w:qFormat/>
    <w:rPr>
      <w:b/>
      <w:bCs/>
    </w:rPr>
  </w:style>
  <w:style w:type="character" w:styleId="Enfasi">
    <w:name w:val="Emphasis"/>
    <w:qFormat/>
    <w:rPr>
      <w:i/>
      <w:iCs/>
    </w:rPr>
  </w:style>
  <w:style w:type="paragraph" w:styleId="Titolo">
    <w:name w:val="Titolo"/>
    <w:basedOn w:val="Normal"/>
    <w:next w:val="Corpodeltesto"/>
    <w:qFormat/>
    <w:pPr>
      <w:keepNext w:val="true"/>
      <w:spacing w:before="240" w:after="120"/>
    </w:pPr>
    <w:rPr>
      <w:rFonts w:ascii="Arial" w:hAnsi="Arial"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ascii="Arial" w:hAnsi="Arial" w:cs="Lucida Sans"/>
      <w:sz w:val="24"/>
    </w:rPr>
  </w:style>
  <w:style w:type="paragraph" w:styleId="Didascalia">
    <w:name w:val="Caption"/>
    <w:basedOn w:val="Normal"/>
    <w:qFormat/>
    <w:pPr>
      <w:suppressLineNumbers/>
      <w:spacing w:before="120" w:after="120"/>
    </w:pPr>
    <w:rPr>
      <w:rFonts w:ascii="Arial" w:hAnsi="Arial" w:cs="Lucida Sans"/>
      <w:i/>
      <w:iCs/>
      <w:sz w:val="24"/>
      <w:szCs w:val="24"/>
    </w:rPr>
  </w:style>
  <w:style w:type="paragraph" w:styleId="Indice">
    <w:name w:val="Indice"/>
    <w:basedOn w:val="Normal"/>
    <w:qFormat/>
    <w:pPr>
      <w:suppressLineNumbers/>
    </w:pPr>
    <w:rPr>
      <w:rFonts w:ascii="Arial" w:hAnsi="Arial" w:cs="Lucida Sans"/>
      <w:sz w:val="24"/>
    </w:rPr>
  </w:style>
  <w:style w:type="paragraph" w:styleId="Caption">
    <w:name w:val="caption"/>
    <w:basedOn w:val="Normal"/>
    <w:qFormat/>
    <w:pPr>
      <w:suppressLineNumbers/>
      <w:spacing w:before="120" w:after="120"/>
    </w:pPr>
    <w:rPr>
      <w:rFonts w:ascii="Arial" w:hAnsi="Arial" w:cs="Lucida Sans"/>
      <w:i/>
      <w:iCs/>
      <w:sz w:val="24"/>
      <w:szCs w:val="24"/>
    </w:rPr>
  </w:style>
  <w:style w:type="paragraph" w:styleId="Titoloprincipale">
    <w:name w:val="Title"/>
    <w:basedOn w:val="Titolo"/>
    <w:qFormat/>
    <w:pPr/>
    <w:rPr>
      <w:sz w:val="56"/>
      <w:szCs w:val="56"/>
    </w:rPr>
  </w:style>
  <w:style w:type="paragraph" w:styleId="StrongEmphasis">
    <w:name w:val="Strong Emphasis"/>
    <w:qFormat/>
    <w:pPr>
      <w:widowControl/>
      <w:suppressAutoHyphens w:val="true"/>
      <w:bidi w:val="0"/>
      <w:spacing w:before="0" w:after="0"/>
      <w:jc w:val="left"/>
    </w:pPr>
    <w:rPr>
      <w:rFonts w:ascii="Times New Roman" w:hAnsi="Times New Roman" w:eastAsia="NSimSun" w:cs="Lucida Sans"/>
      <w:b/>
      <w:bCs/>
      <w:color w:val="auto"/>
      <w:kern w:val="0"/>
      <w:sz w:val="20"/>
      <w:szCs w:val="20"/>
      <w:lang w:val="it-IT" w:eastAsia="zh-CN" w:bidi="hi-IN"/>
    </w:rPr>
  </w:style>
  <w:style w:type="paragraph" w:styleId="ListParagraph">
    <w:name w:val="List Paragraph"/>
    <w:qFormat/>
    <w:pPr>
      <w:widowControl/>
      <w:suppressAutoHyphens w:val="true"/>
      <w:bidi w:val="0"/>
      <w:spacing w:before="0" w:after="0"/>
      <w:jc w:val="left"/>
    </w:pPr>
    <w:rPr>
      <w:rFonts w:ascii="Times New Roman" w:hAnsi="Times New Roman" w:eastAsia="NSimSun" w:cs="Lucida Sans"/>
      <w:color w:val="auto"/>
      <w:kern w:val="0"/>
      <w:sz w:val="20"/>
      <w:szCs w:val="20"/>
      <w:lang w:val="it-IT" w:eastAsia="zh-CN" w:bidi="hi-IN"/>
    </w:rPr>
  </w:style>
  <w:style w:type="paragraph" w:styleId="Notaapidipagina">
    <w:name w:val="Footnote Text"/>
    <w:basedOn w:val="Normal"/>
    <w:link w:val="FootnoteTextChar"/>
    <w:uiPriority w:val="99"/>
    <w:semiHidden/>
    <w:unhideWhenUsed/>
    <w:pPr>
      <w:spacing w:lineRule="auto" w:line="240" w:before="0" w:after="0"/>
    </w:pPr>
    <w:rPr>
      <w:sz w:val="20"/>
      <w:szCs w:val="20"/>
    </w:rPr>
  </w:style>
  <w:style w:type="paragraph" w:styleId="Notadichiusura">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2923</TotalTime>
  <Application>LibreOffice/7.5.9.2$Windows_X86_64 LibreOffice_project/cdeefe45c17511d326101eed8008ac4092f278a9</Application>
  <AppVersion>15.0000</AppVersion>
  <Pages>9</Pages>
  <Words>4473</Words>
  <Characters>26016</Characters>
  <CharactersWithSpaces>30340</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2026-07-20T08:53:19Z</dcterms:created>
  <dc:creator>Un-named</dc:creator>
  <dc:description/>
  <dc:language>it-IT</dc:language>
  <cp:lastModifiedBy/>
  <cp:lastPrinted>2026-08-24T08:27:55Z</cp:lastPrinted>
  <dcterms:modified xsi:type="dcterms:W3CDTF">2026-10-05T08:04:35Z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